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6C4D929A" wp14:editId="76FE130E">
            <wp:extent cx="1467471" cy="1138555"/>
            <wp:effectExtent l="0" t="0" r="6350" b="4445"/>
            <wp:docPr id="2" name="Imagen 2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1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center"/>
        <w:rPr>
          <w:b/>
          <w:u w:val="single"/>
        </w:rPr>
      </w:pPr>
      <w:r>
        <w:rPr>
          <w:b/>
          <w:u w:val="single"/>
        </w:rPr>
        <w:t>CONCLUSIONES XXX ASAMBLEA DE JUECES Y MAGISTRADOS FRANCISCO DE VITORIA. BILBAO 14 DE NOVIEMBRE DE 2015.</w:t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b/>
          <w:u w:val="single"/>
        </w:rPr>
        <w:t>CONCLUSIONES SOBRE “</w:t>
      </w:r>
      <w:r w:rsidRPr="00150E33">
        <w:rPr>
          <w:b/>
          <w:u w:val="single"/>
        </w:rPr>
        <w:t>EL EXPEDIENTE DIGITAL</w:t>
      </w:r>
      <w:r>
        <w:rPr>
          <w:b/>
          <w:u w:val="single"/>
        </w:rPr>
        <w:t>”.</w:t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1º.- Supeditar la implantación de la digitalización plena a que se dote a los Tribunales de los medios adecuados debiendo contar en su total aplicación con la intervención de los Jueces y Magistrados y de las asociaciones judic</w:t>
      </w:r>
      <w:r w:rsidR="002951FC">
        <w:t>iales</w:t>
      </w: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 xml:space="preserve">2º.- Creación de un protocolo de actuación y homogeneización para la unificación de criterios y sistemas informáticos en el que se determine las actuaciones que necesariamente han de seguir estando en papel y el procedimiento de dación de cuenta. </w:t>
      </w:r>
      <w:r w:rsidRPr="002A1176">
        <w:rPr>
          <w:rFonts w:eastAsia="Calibri"/>
        </w:rPr>
        <w:t>En los procesos con actuaciones en papel s</w:t>
      </w:r>
      <w:r w:rsidRPr="002A1176">
        <w:t>e debe establecer normativamente cual es el expediente de referencia (virtual o físico). Dicho protocolo se realizará con la intervención de todos los interesados incluyendo el CGPJ y las asociaciones judicial</w:t>
      </w:r>
      <w:r w:rsidR="002951FC">
        <w:t>es.</w:t>
      </w: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3º.- Para la implantación es imprescindible la existencia de medios informáticos (software y hardware) adecuados con unos requisitos mínimos y estandarizados para todos tanto en despachos y oficinas como en salas de vistas. El Juez tiene que tener tanto en su despacho como en su domicilio todos los medios informáticos que le serán provistos por el CGPJ o por la administración correspondiente y la posibilidad de acceso remoto al expediente digital.</w:t>
      </w:r>
    </w:p>
    <w:p w:rsidR="00B25E19" w:rsidRDefault="00B25E19" w:rsidP="00B25E19">
      <w:pPr>
        <w:spacing w:line="360" w:lineRule="auto"/>
        <w:ind w:left="539" w:right="181" w:firstLine="539"/>
        <w:jc w:val="both"/>
      </w:pPr>
      <w:r w:rsidRPr="002A1176">
        <w:t xml:space="preserve">4º.- La aplicación informática ha de ser funcional con un sistema organizado de índices, permitiendo la edición de documentos, la búsqueda por </w:t>
      </w:r>
    </w:p>
    <w:p w:rsidR="00B25E19" w:rsidRDefault="00B25E19" w:rsidP="00B25E19">
      <w:pPr>
        <w:spacing w:line="360" w:lineRule="auto"/>
        <w:ind w:left="539" w:right="181" w:firstLine="539"/>
        <w:jc w:val="both"/>
      </w:pPr>
    </w:p>
    <w:p w:rsidR="00B25E19" w:rsidRDefault="00B25E19" w:rsidP="00B25E19">
      <w:pPr>
        <w:spacing w:line="360" w:lineRule="auto"/>
        <w:ind w:left="539" w:right="181" w:firstLine="539"/>
        <w:jc w:val="both"/>
      </w:pPr>
      <w:r>
        <w:rPr>
          <w:noProof/>
        </w:rPr>
        <w:lastRenderedPageBreak/>
        <w:drawing>
          <wp:inline distT="0" distB="0" distL="0" distR="0" wp14:anchorId="08426D35" wp14:editId="77643F9A">
            <wp:extent cx="1467471" cy="1138555"/>
            <wp:effectExtent l="0" t="0" r="6350" b="4445"/>
            <wp:docPr id="3" name="Imagen 3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1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19" w:rsidRDefault="00B25E19" w:rsidP="00B25E19">
      <w:pPr>
        <w:spacing w:line="360" w:lineRule="auto"/>
        <w:ind w:left="539" w:right="181" w:firstLine="539"/>
        <w:jc w:val="both"/>
      </w:pP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palabras o conceptos, etc. La digitalización y el escaneo de documentos debe tener unos criterios de calidad mínim</w:t>
      </w:r>
      <w:r w:rsidR="002951FC">
        <w:t>os.</w:t>
      </w: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5º.- Debe garantizarse una asistencia técnica de calidad inmediata y una formación inicial y continuada en esta materia a los miembros del Poder Judici</w:t>
      </w:r>
      <w:r w:rsidR="002951FC">
        <w:t xml:space="preserve">al. </w:t>
      </w: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6º.- En las jurisdicciones en las que se necesita el expediente administrativo, la presentación digital ha de ser conforme a los programas y estándares que se fijen de forma protocolar</w:t>
      </w:r>
      <w:r w:rsidR="002951FC">
        <w:t>ia.</w:t>
      </w: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7º.- La plena implantación del expediente digital en ningún caso supondrá privar a los Jueces de la posibilidad de ordenar la impresión de los documentos o parte del expediente que estime necesario para el ejercicio de su labor jurisdiccional. Se solicita del CGPJ que vele por su recta aplicaci</w:t>
      </w:r>
      <w:r w:rsidR="002951FC">
        <w:t>ón.</w:t>
      </w:r>
    </w:p>
    <w:p w:rsidR="00B25E19" w:rsidRPr="002A1176" w:rsidRDefault="00B25E19" w:rsidP="00B25E19">
      <w:pPr>
        <w:spacing w:line="360" w:lineRule="auto"/>
        <w:ind w:left="539" w:right="181" w:firstLine="539"/>
        <w:jc w:val="both"/>
      </w:pPr>
      <w:r w:rsidRPr="002A1176">
        <w:t>8º.- Adopción de medidas necesarias para evaluar los nuevos riesgos laborales para los Jueces y Magistrados derivados del proceso de digitalizaci</w:t>
      </w:r>
      <w:r w:rsidR="002951FC">
        <w:t xml:space="preserve">ón. </w:t>
      </w:r>
    </w:p>
    <w:p w:rsidR="00B25E19" w:rsidRDefault="00B25E19" w:rsidP="00B25E19">
      <w:pPr>
        <w:spacing w:line="360" w:lineRule="auto"/>
        <w:ind w:left="539" w:right="181" w:firstLine="539"/>
        <w:jc w:val="both"/>
      </w:pPr>
    </w:p>
    <w:p w:rsidR="00B25E19" w:rsidRDefault="00B25E19" w:rsidP="00B25E19">
      <w:pPr>
        <w:pStyle w:val="Textodecuerpo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b/>
          <w:u w:val="single"/>
        </w:rPr>
        <w:t>CONCLUSIONES SOBRE “</w:t>
      </w:r>
      <w:r w:rsidRPr="00150E33">
        <w:rPr>
          <w:b/>
          <w:u w:val="single"/>
        </w:rPr>
        <w:t>EL REGISTRO CIVIL. REFORMA</w:t>
      </w:r>
      <w:r>
        <w:rPr>
          <w:b/>
          <w:u w:val="single"/>
        </w:rPr>
        <w:t>”</w:t>
      </w:r>
    </w:p>
    <w:p w:rsidR="00B25E19" w:rsidRDefault="00B25E19" w:rsidP="00B25E19">
      <w:pPr>
        <w:pStyle w:val="Textodecuerpo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Pr="002A1176" w:rsidRDefault="00B25E19" w:rsidP="00B25E19">
      <w:pPr>
        <w:pStyle w:val="Textodecuerpo"/>
        <w:spacing w:line="360" w:lineRule="auto"/>
        <w:ind w:left="539" w:right="181" w:firstLine="539"/>
        <w:jc w:val="both"/>
      </w:pPr>
      <w:r w:rsidRPr="002A1176">
        <w:t>1º.-</w:t>
      </w:r>
      <w:r w:rsidR="002951FC">
        <w:t xml:space="preserve"> El </w:t>
      </w:r>
      <w:r w:rsidRPr="002A1176">
        <w:t xml:space="preserve"> Registro Civil </w:t>
      </w:r>
      <w:r w:rsidR="002951FC">
        <w:t xml:space="preserve"> ha de ser siempre </w:t>
      </w:r>
      <w:r w:rsidRPr="002A1176">
        <w:t>público y gratu</w:t>
      </w:r>
      <w:r w:rsidR="002951FC">
        <w:t xml:space="preserve">ito </w:t>
      </w:r>
    </w:p>
    <w:p w:rsidR="00B25E19" w:rsidRDefault="00B25E19" w:rsidP="00B25E19">
      <w:pPr>
        <w:pStyle w:val="Textodecuerpo"/>
        <w:tabs>
          <w:tab w:val="left" w:pos="6070"/>
        </w:tabs>
        <w:spacing w:line="360" w:lineRule="auto"/>
        <w:ind w:left="539" w:right="181" w:firstLine="539"/>
        <w:jc w:val="both"/>
      </w:pPr>
      <w:r>
        <w:tab/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08426D35" wp14:editId="77643F9A">
            <wp:extent cx="1467471" cy="1138555"/>
            <wp:effectExtent l="0" t="0" r="6350" b="4445"/>
            <wp:docPr id="4" name="Imagen 4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1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b/>
          <w:u w:val="single"/>
        </w:rPr>
        <w:lastRenderedPageBreak/>
        <w:t>CONCLUSIONES SOBRE “</w:t>
      </w:r>
      <w:r w:rsidRPr="00150E33">
        <w:rPr>
          <w:b/>
          <w:u w:val="single"/>
        </w:rPr>
        <w:t>REFORMA DE LA LEY DE ENJUICIAMIENTO CRIMINAL</w:t>
      </w:r>
      <w:r>
        <w:rPr>
          <w:b/>
          <w:u w:val="single"/>
        </w:rPr>
        <w:t>”.</w:t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Pr="001D516F" w:rsidRDefault="00B25E19" w:rsidP="00B25E19">
      <w:pPr>
        <w:pStyle w:val="NormalWeb"/>
        <w:spacing w:line="360" w:lineRule="auto"/>
        <w:ind w:left="539" w:right="181" w:firstLine="539"/>
        <w:jc w:val="both"/>
      </w:pPr>
      <w:r w:rsidRPr="001D516F">
        <w:t>1º.- Merece una valoración positiva la generalización de la doble instancia y la regulación de las medidas de investigación tecnológica. En todo caso, la doble instancia exige una dotación de medios humanos necesarios para acometer dicha funci</w:t>
      </w:r>
      <w:r w:rsidR="002951FC">
        <w:t xml:space="preserve">ón. </w:t>
      </w:r>
    </w:p>
    <w:p w:rsidR="00B25E19" w:rsidRPr="001D516F" w:rsidRDefault="00B25E19" w:rsidP="00B25E19">
      <w:pPr>
        <w:pStyle w:val="NormalWeb"/>
        <w:spacing w:line="360" w:lineRule="auto"/>
        <w:ind w:left="539" w:right="181" w:firstLine="539"/>
        <w:jc w:val="both"/>
      </w:pPr>
      <w:r w:rsidRPr="001D516F">
        <w:t>2º.- La agilización de la justicia penal no se alcanzará con medidas a coste cero. Sólo se conseguirá de manera real y efectiva con la dotación de recursos humanos y materiales para la justicia y para sus colaboradores, especialmente para la policía judicial, científica y demás organismos que aportan sus pericias (toxicología, farmacia, auditores…) creando órganos periciales especializad</w:t>
      </w:r>
      <w:r w:rsidR="002951FC">
        <w:t xml:space="preserve">os. </w:t>
      </w:r>
    </w:p>
    <w:p w:rsidR="00B25E19" w:rsidRPr="001D516F" w:rsidRDefault="00B25E19" w:rsidP="00B25E19">
      <w:pPr>
        <w:pStyle w:val="NormalWeb"/>
        <w:spacing w:line="360" w:lineRule="auto"/>
        <w:ind w:left="539" w:right="181" w:firstLine="539"/>
        <w:jc w:val="both"/>
      </w:pPr>
      <w:r w:rsidRPr="001D516F">
        <w:t>3º.- El sometimiento de la instrucción a plazo en las actuales condiciones puede generar impunidad, especialmente los delitos de instrucción compleja, como los de corrupci</w:t>
      </w:r>
      <w:r w:rsidR="002951FC">
        <w:t>ón.</w:t>
      </w:r>
    </w:p>
    <w:p w:rsidR="00B25E19" w:rsidRPr="001D516F" w:rsidRDefault="00B25E19" w:rsidP="00B25E19">
      <w:pPr>
        <w:pStyle w:val="NormalWeb"/>
        <w:spacing w:line="360" w:lineRule="auto"/>
        <w:ind w:left="539" w:right="181" w:firstLine="539"/>
        <w:jc w:val="both"/>
      </w:pPr>
      <w:r w:rsidRPr="001D516F">
        <w:t>4º.- La no remisión de los atestados sin autor conocido a los órganos judiciales amplía el ámbito de la discrecionalidad de la administración, y puede dificultar la correcta tutela judicial de la víctima. Debe garantizarse el control de la investigación polici</w:t>
      </w:r>
      <w:r w:rsidR="002951FC">
        <w:t xml:space="preserve">al. </w:t>
      </w:r>
    </w:p>
    <w:p w:rsidR="00B25E19" w:rsidRDefault="00B25E19" w:rsidP="00B25E19">
      <w:pPr>
        <w:spacing w:line="360" w:lineRule="auto"/>
        <w:ind w:left="539" w:right="181" w:firstLine="539"/>
        <w:jc w:val="both"/>
      </w:pP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08426D35" wp14:editId="77643F9A">
            <wp:extent cx="1467471" cy="1138555"/>
            <wp:effectExtent l="0" t="0" r="6350" b="4445"/>
            <wp:docPr id="5" name="Imagen 5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1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Default="002951FC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Sobre la </w:t>
      </w:r>
      <w:r w:rsidR="00B25E19">
        <w:rPr>
          <w:b/>
          <w:u w:val="single"/>
        </w:rPr>
        <w:t>situación de los Jueces de Adscripción Territorial, Jueces de Apoyo al Juez de Adscripción Territorial, y Jueces en Expectativa de Destino de las últimas promociones.</w:t>
      </w:r>
    </w:p>
    <w:p w:rsidR="00B25E19" w:rsidRDefault="00B25E19" w:rsidP="00B25E19">
      <w:pPr>
        <w:pStyle w:val="NormalWeb"/>
        <w:spacing w:line="360" w:lineRule="auto"/>
        <w:ind w:left="539" w:right="181" w:firstLine="539"/>
        <w:jc w:val="both"/>
        <w:rPr>
          <w:b/>
          <w:u w:val="single"/>
        </w:rPr>
      </w:pPr>
    </w:p>
    <w:p w:rsidR="00B25E19" w:rsidRPr="001D516F" w:rsidRDefault="00B25E19" w:rsidP="00B25E19">
      <w:pPr>
        <w:spacing w:line="360" w:lineRule="auto"/>
        <w:ind w:left="539" w:right="181" w:firstLine="539"/>
        <w:jc w:val="both"/>
      </w:pPr>
      <w:r w:rsidRPr="001D516F">
        <w:t xml:space="preserve">1º.- Se requiere un plan </w:t>
      </w:r>
      <w:bookmarkStart w:id="0" w:name="_GoBack"/>
      <w:r w:rsidRPr="001D516F">
        <w:t>de actuación e información clara, puntual y completa sobre los tiempos del proceso de asignación de plazas a los jueces en expectativa de destino para garantizar la transparencia del mismo. Ello es necesario para que los jueces puedan planificar la vida personal y labor</w:t>
      </w:r>
      <w:r w:rsidR="002951FC">
        <w:t xml:space="preserve">al. </w:t>
      </w:r>
      <w:bookmarkEnd w:id="0"/>
    </w:p>
    <w:p w:rsidR="00B25E19" w:rsidRPr="001D516F" w:rsidRDefault="00B25E19" w:rsidP="00B25E19">
      <w:pPr>
        <w:spacing w:line="360" w:lineRule="auto"/>
        <w:ind w:left="539" w:right="181" w:firstLine="539"/>
        <w:jc w:val="both"/>
      </w:pPr>
      <w:r w:rsidRPr="001D516F">
        <w:t>2º.- La Asociación Francisco de Vitoria muestra su apoyo a los jueces en expectativa de destino y denuncia que esta situación vulnera el principio de inamovilidad jud</w:t>
      </w:r>
      <w:r w:rsidR="002951FC">
        <w:t xml:space="preserve">icial. </w:t>
      </w:r>
    </w:p>
    <w:p w:rsidR="00B25E19" w:rsidRPr="001D516F" w:rsidRDefault="00B25E19" w:rsidP="00B25E19">
      <w:pPr>
        <w:spacing w:line="360" w:lineRule="auto"/>
        <w:ind w:left="539" w:right="181" w:firstLine="539"/>
        <w:jc w:val="both"/>
      </w:pPr>
      <w:r w:rsidRPr="001D516F">
        <w:t>3º.- La designación de las últimas promociones de jueces en prácticas como jueces sustitutos denigra la carrera judici</w:t>
      </w:r>
      <w:r w:rsidR="002951FC">
        <w:t xml:space="preserve">al. </w:t>
      </w:r>
    </w:p>
    <w:p w:rsidR="00B85816" w:rsidRDefault="00B85816"/>
    <w:sectPr w:rsidR="00B85816" w:rsidSect="00E90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19"/>
    <w:rsid w:val="002951FC"/>
    <w:rsid w:val="009C47B7"/>
    <w:rsid w:val="00B25E19"/>
    <w:rsid w:val="00B85816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1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E19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E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B25E19"/>
    <w:pPr>
      <w:spacing w:before="100" w:beforeAutospacing="1" w:after="100" w:afterAutospacing="1"/>
    </w:pPr>
  </w:style>
  <w:style w:type="paragraph" w:styleId="Textodecuerpo">
    <w:name w:val="Body Text"/>
    <w:basedOn w:val="Normal"/>
    <w:link w:val="TextodecuerpoCar"/>
    <w:rsid w:val="00B25E19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B25E19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1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E19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E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B25E19"/>
    <w:pPr>
      <w:spacing w:before="100" w:beforeAutospacing="1" w:after="100" w:afterAutospacing="1"/>
    </w:pPr>
  </w:style>
  <w:style w:type="paragraph" w:styleId="Textodecuerpo">
    <w:name w:val="Body Text"/>
    <w:basedOn w:val="Normal"/>
    <w:link w:val="TextodecuerpoCar"/>
    <w:rsid w:val="00B25E19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B25E1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3763</Characters>
  <Application>Microsoft Macintosh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gonzalez</dc:creator>
  <cp:keywords/>
  <dc:description/>
  <cp:lastModifiedBy>Carlos Berbell</cp:lastModifiedBy>
  <cp:revision>2</cp:revision>
  <dcterms:created xsi:type="dcterms:W3CDTF">2015-11-15T16:19:00Z</dcterms:created>
  <dcterms:modified xsi:type="dcterms:W3CDTF">2015-11-15T16:19:00Z</dcterms:modified>
</cp:coreProperties>
</file>