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96" w:rsidRDefault="00477996" w:rsidP="00477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  <w:t>CONCLUSIONES XXXI ASAMBLEA ANUAL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  <w:t>ASOCIACIÓN DE JUECES Y MAGISTRADOS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  <w:t>FRANCI</w:t>
      </w:r>
      <w:r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  <w:t>S</w:t>
      </w:r>
      <w:r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  <w:t>CO DE VITORIA</w:t>
      </w:r>
      <w:bookmarkStart w:id="0" w:name="_GoBack"/>
      <w:bookmarkEnd w:id="0"/>
    </w:p>
    <w:p w:rsidR="00477996" w:rsidRDefault="00477996" w:rsidP="004779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  <w:t>VALLADOLID 16- 18 NOVIEMBRE DE 2016</w:t>
      </w:r>
    </w:p>
    <w:p w:rsidR="00477996" w:rsidRDefault="00477996" w:rsidP="0047799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b/>
          <w:bCs/>
          <w:color w:val="1A1A1A"/>
          <w:sz w:val="32"/>
          <w:szCs w:val="32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b/>
          <w:bCs/>
          <w:color w:val="1A1A1A"/>
          <w:sz w:val="32"/>
          <w:szCs w:val="32"/>
          <w:u w:val="single" w:color="1A1A1A"/>
          <w:lang w:val="es-ES"/>
        </w:rPr>
        <w:t>Conclusiones</w:t>
      </w:r>
      <w:r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  <w:lang w:val="es-ES"/>
        </w:rPr>
        <w:t xml:space="preserve"> Código Ético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1.</w:t>
      </w:r>
      <w:r>
        <w:rPr>
          <w:rFonts w:ascii="Times New Roman" w:hAnsi="Times New Roman" w:cs="Times New Roman"/>
          <w:color w:val="1A1A1A"/>
          <w:sz w:val="18"/>
          <w:szCs w:val="18"/>
          <w:u w:color="1A1A1A"/>
          <w:lang w:val="es-ES"/>
        </w:rPr>
        <w:t xml:space="preserve"> 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AJFV considera que la adopción de un </w:t>
      </w:r>
      <w:r>
        <w:rPr>
          <w:rFonts w:ascii="Arial" w:hAnsi="Arial" w:cs="Arial"/>
          <w:i/>
          <w:iCs/>
          <w:color w:val="1A1A1A"/>
          <w:sz w:val="32"/>
          <w:szCs w:val="32"/>
          <w:u w:color="1A1A1A"/>
          <w:lang w:val="es-ES"/>
        </w:rPr>
        <w:t>texto de ética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j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u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dicial tiene que estar necesariamente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vinculado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con el resto de medidas acordadas en el </w:t>
      </w:r>
      <w:r>
        <w:rPr>
          <w:rFonts w:ascii="Arial" w:hAnsi="Arial" w:cs="Arial"/>
          <w:i/>
          <w:iCs/>
          <w:color w:val="1A1A1A"/>
          <w:sz w:val="32"/>
          <w:szCs w:val="32"/>
          <w:u w:color="1A1A1A"/>
          <w:lang w:val="es-ES"/>
        </w:rPr>
        <w:t>Plan de Acción del Consejo de Europa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para el fortalecimiento de la independencia e i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m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parcialidad judicial (Comité de Ministros de 13 de abril de 2016), que señala que los Estados Miembros deben, entre otras medidas,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asegurar que la remuneración y las cond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i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ciones de trabajo de los jueces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, así como los estándares de conducta profesional y ética judicial estén clara y públic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mente definidos.</w:t>
      </w:r>
    </w:p>
    <w:p w:rsidR="00477996" w:rsidRDefault="00477996" w:rsidP="0047799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AJFV rechaza que la aprobación de un texto de ética jud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i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cial tenga lugar de forma desvinculada del resto de med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i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das, a nuestro entender prioritarias.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2. 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AJFV considera que un texto de ética judicial ha de co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n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tener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principios y valores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en el ejercicio de su función que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solo serán efectivos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en la medida en que son asumidos por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cada juez de forma individual mediante su voluntaria adh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e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sión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, 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rechazando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que tal texto tenga naturaleza de 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código deontológico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con imposición de normas o pautas de co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n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ducta diferentes de las contenidas en la LOPJ.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3. 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AJFV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se opone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a cualquier forma de aprobación de un texto de ética judicial por el CGPJ que dote al mismo de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c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a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rácter normativo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4. 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AJFV considera que un texto de ética judicial es algo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t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o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talmente ajeno al régimen disciplinario de los jueces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y por ello se opone a cualquier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utilización, directa o indirecta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, del 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lastRenderedPageBreak/>
        <w:t>texto de ética judicial para fines disciplinarios en perjuicio del juez afectado, siquiera como elemento interpretativo.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5. 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AJFV considera necesario que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cualquier proceso de r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e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dacción/modificación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del texto de ética judicial, en cuanto expresa un compromiso con la sociedad,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permita participar a representantes de todas las asociaciones profesionales de jueces, debiendo ser fruto del consenso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entre las dif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rentes sensibilidades existentes en la Carrera Judicial. En todo caso, el texto resultante deberá ser sometido a un p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ríodo de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alegaciones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por instancias representativas de la Carrera Judicial antes de su definitiva fijación y difusión p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ú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blica.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6. 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AJFV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rechaza la existencia de una Comisión de Ética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7. En caso de llegar a crearse dicha Comisión, la AJFV se 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opone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a cualquier concepción de la misma como un 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trib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u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nal de honor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o como un 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órgano que vigile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el cumplimie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n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to de los principios de ética, entendiendo que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su función debe ser estrictamente consultiva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, orientada siempre a prestar ayuda a los jueces sin actuar nunca de oficio.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b/>
          <w:bCs/>
          <w:color w:val="1A1A1A"/>
          <w:sz w:val="32"/>
          <w:szCs w:val="32"/>
          <w:u w:val="single" w:color="1A1A1A"/>
          <w:lang w:val="es-ES"/>
        </w:rPr>
        <w:t>Conclusiones sistema de elección de los Vocales del C.G.P.J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1.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Se concede al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Comité Nacional un amplio margen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de n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gociación con el resto de las asociaciones judiciales y los grupos parlamentarios. En todo caso la Asamblea consid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ra como un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elemento irrenunciable la existencia de listas abiertas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. Respecto del resto de cuestiones, se consideran principios deseables.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2.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El 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cuerpo electoral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estará formado por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todos los jueces y magistrados en servicio activo.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3.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Puede ser elegido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cualquier juez o magistrado en serv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i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cio activo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4.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Una sola lista abierta.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5. 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Al lado del candidato en la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lista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pondrá la asociación a la que pertenece o la expresión: “no asociado”.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6. 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Aval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-  A fin de presentar su candidatura, será necesario el aval, bien de una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asociación judicial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legalmente const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i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tuida,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bien la firma de 25 jueces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.</w:t>
      </w:r>
    </w:p>
    <w:p w:rsidR="00477996" w:rsidRDefault="00477996" w:rsidP="00477996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- Los jueces asociados no podrán avalar a un no as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ciado.</w:t>
      </w:r>
    </w:p>
    <w:p w:rsidR="00477996" w:rsidRDefault="00477996" w:rsidP="00477996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- Asimismo, los jueces asociados no podrán presentarse al margen de su asociación.</w:t>
      </w:r>
    </w:p>
    <w:p w:rsidR="00477996" w:rsidRDefault="00477996" w:rsidP="00477996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- Las asociaciones judiciales pueden avalar un máximo de 12 candidatos. Los jueces no asociados podrán av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lar un solo juez.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7.  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Cada votante podrá elegir un máximo de candidatos que oscilará en 4 y 6.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8.  De los elegidos, tendrá que haber al menos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uno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de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cada categoría judicial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. En el caso de que, en alguna categoría judicial, ninguno esté entre los 12 más votados y hubiera candidatos presentados por esa categoría, entrará el que más votos hubiera obtenido dentro de ella.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9.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No hay mandato imperativo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. Pero los candidatos de AJFV deben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asumir el compromiso de respetar el ideario asociativo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10.  Cada año los vocales comparecerán ante la Asamblea Nacional para </w:t>
      </w:r>
      <w:r>
        <w:rPr>
          <w:rFonts w:ascii="Arial" w:hAnsi="Arial" w:cs="Arial"/>
          <w:color w:val="1A1A1A"/>
          <w:sz w:val="32"/>
          <w:szCs w:val="32"/>
          <w:u w:val="single" w:color="1A1A1A"/>
          <w:lang w:val="es-ES"/>
        </w:rPr>
        <w:t>informar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 xml:space="preserve"> de su actuación.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La Asamblea Nacional desea que se dé la mayor public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i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dad a todas las conclusiones.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b/>
          <w:bCs/>
          <w:color w:val="1A1A1A"/>
          <w:sz w:val="32"/>
          <w:szCs w:val="32"/>
          <w:u w:val="single" w:color="1A1A1A"/>
          <w:lang w:val="es-ES"/>
        </w:rPr>
        <w:t> CONCLUSIONES CUESTIONES RELACIONADAS CON LA CARGA DE TRABAJO A EFECTOS DE SALUD L</w:t>
      </w:r>
      <w:r>
        <w:rPr>
          <w:rFonts w:ascii="Arial" w:hAnsi="Arial" w:cs="Arial"/>
          <w:b/>
          <w:bCs/>
          <w:color w:val="1A1A1A"/>
          <w:sz w:val="32"/>
          <w:szCs w:val="32"/>
          <w:u w:val="single" w:color="1A1A1A"/>
          <w:lang w:val="es-ES"/>
        </w:rPr>
        <w:t>A</w:t>
      </w:r>
      <w:r>
        <w:rPr>
          <w:rFonts w:ascii="Arial" w:hAnsi="Arial" w:cs="Arial"/>
          <w:b/>
          <w:bCs/>
          <w:color w:val="1A1A1A"/>
          <w:sz w:val="32"/>
          <w:szCs w:val="32"/>
          <w:u w:val="single" w:color="1A1A1A"/>
          <w:lang w:val="es-ES"/>
        </w:rPr>
        <w:t>BORAL, CONCILIACIÓN DE LA VIDA LABORAL Y PE</w:t>
      </w:r>
      <w:r>
        <w:rPr>
          <w:rFonts w:ascii="Arial" w:hAnsi="Arial" w:cs="Arial"/>
          <w:b/>
          <w:bCs/>
          <w:color w:val="1A1A1A"/>
          <w:sz w:val="32"/>
          <w:szCs w:val="32"/>
          <w:u w:val="single" w:color="1A1A1A"/>
          <w:lang w:val="es-ES"/>
        </w:rPr>
        <w:t>R</w:t>
      </w:r>
      <w:r>
        <w:rPr>
          <w:rFonts w:ascii="Arial" w:hAnsi="Arial" w:cs="Arial"/>
          <w:b/>
          <w:bCs/>
          <w:color w:val="1A1A1A"/>
          <w:sz w:val="32"/>
          <w:szCs w:val="32"/>
          <w:u w:val="single" w:color="1A1A1A"/>
          <w:lang w:val="es-ES"/>
        </w:rPr>
        <w:t>SONAL, TELETRABAJO Y SALUD LABORAL</w:t>
      </w:r>
      <w:r>
        <w:rPr>
          <w:rFonts w:ascii="Arial" w:hAnsi="Arial" w:cs="Arial"/>
          <w:b/>
          <w:bCs/>
          <w:color w:val="1A1A1A"/>
          <w:sz w:val="32"/>
          <w:szCs w:val="32"/>
          <w:u w:color="1A1A1A"/>
          <w:lang w:val="es-ES"/>
        </w:rPr>
        <w:t>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1.- Denunciar públicamente el incumplimiento por parte del CGPJ de sus obligaciones de protección del principal der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cho de los integrantes de la Carrera Judicial, como es el derecho a su salud e integridad física y moral.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2.- Encomendar a su Comité Nacional la adopción de cua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n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tas medidas considere necesarias para lograr que este d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e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recho sea adecuadamente tutelado, incluyendo el ejercicio de acciones judiciales, ante la Inspección de trabajo, med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i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das de conflicto colectivo y acciones ante el Tribunal Eur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o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peo de Derechos Humanos.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Se realiza una propuesta en relación a la conciliación de la vida laboral y familiar, el teletrabajo y la salud laboral. Se propone a la Asamblea lo siguiente: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Apoyar la conclusión de las jornadas de decanos de Mál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ga del siguiente tenor: necesidad de estudiar la posibilidad del teletrabajo como cauce para profundizar la igualdad y conciliación, elementos irrenunciables para la carrera jud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i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cial.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p w:rsidR="00477996" w:rsidRDefault="00477996" w:rsidP="004779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5"/>
          <w:szCs w:val="25"/>
          <w:u w:color="1A1A1A"/>
          <w:lang w:val="es-ES"/>
        </w:rPr>
      </w:pP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Instar al Comité para que reactive las reivindicaciones rel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a</w:t>
      </w:r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cionadas con la carrera profesional que se adoptaron en la Asamblea de Zaragoza.</w:t>
      </w:r>
    </w:p>
    <w:p w:rsidR="007A5951" w:rsidRDefault="00477996" w:rsidP="00477996">
      <w:r>
        <w:rPr>
          <w:rFonts w:ascii="Arial" w:hAnsi="Arial" w:cs="Arial"/>
          <w:color w:val="1A1A1A"/>
          <w:sz w:val="32"/>
          <w:szCs w:val="32"/>
          <w:u w:color="1A1A1A"/>
          <w:lang w:val="es-ES"/>
        </w:rPr>
        <w:t> </w:t>
      </w:r>
    </w:p>
    <w:sectPr w:rsidR="007A5951" w:rsidSect="007A5951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96" w:rsidRDefault="00477996" w:rsidP="00477996">
      <w:r>
        <w:separator/>
      </w:r>
    </w:p>
  </w:endnote>
  <w:endnote w:type="continuationSeparator" w:id="0">
    <w:p w:rsidR="00477996" w:rsidRDefault="00477996" w:rsidP="004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96" w:rsidRDefault="00477996" w:rsidP="00796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996" w:rsidRDefault="00477996" w:rsidP="004779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96" w:rsidRDefault="00477996" w:rsidP="00796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7996" w:rsidRDefault="00477996" w:rsidP="004779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96" w:rsidRDefault="00477996" w:rsidP="00477996">
      <w:r>
        <w:separator/>
      </w:r>
    </w:p>
  </w:footnote>
  <w:footnote w:type="continuationSeparator" w:id="0">
    <w:p w:rsidR="00477996" w:rsidRDefault="00477996" w:rsidP="0047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6"/>
    <w:rsid w:val="00477996"/>
    <w:rsid w:val="007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5A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779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996"/>
  </w:style>
  <w:style w:type="character" w:styleId="Nmerodepgina">
    <w:name w:val="page number"/>
    <w:basedOn w:val="Fuentedeprrafopredeter"/>
    <w:uiPriority w:val="99"/>
    <w:semiHidden/>
    <w:unhideWhenUsed/>
    <w:rsid w:val="004779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779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996"/>
  </w:style>
  <w:style w:type="character" w:styleId="Nmerodepgina">
    <w:name w:val="page number"/>
    <w:basedOn w:val="Fuentedeprrafopredeter"/>
    <w:uiPriority w:val="99"/>
    <w:semiHidden/>
    <w:unhideWhenUsed/>
    <w:rsid w:val="0047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4759</Characters>
  <Application>Microsoft Macintosh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Berbell</dc:creator>
  <cp:keywords/>
  <dc:description/>
  <cp:lastModifiedBy>Carlos Berbell</cp:lastModifiedBy>
  <cp:revision>1</cp:revision>
  <dcterms:created xsi:type="dcterms:W3CDTF">2016-11-18T18:57:00Z</dcterms:created>
  <dcterms:modified xsi:type="dcterms:W3CDTF">2016-11-18T19:00:00Z</dcterms:modified>
</cp:coreProperties>
</file>