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11F1" w14:textId="5B36B0D1" w:rsidR="008A7F1B" w:rsidRPr="00462889" w:rsidRDefault="00715BF9" w:rsidP="004C2268">
      <w:pPr>
        <w:autoSpaceDE w:val="0"/>
        <w:autoSpaceDN w:val="0"/>
        <w:adjustRightInd w:val="0"/>
        <w:rPr>
          <w:rFonts w:ascii="Tahoma" w:hAnsi="Tahoma" w:cs="Tahoma"/>
          <w:b/>
          <w:sz w:val="40"/>
          <w:szCs w:val="40"/>
        </w:rPr>
      </w:pPr>
      <w:r w:rsidRPr="00462889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CEEEED9" wp14:editId="7183B7C8">
                <wp:simplePos x="0" y="0"/>
                <wp:positionH relativeFrom="column">
                  <wp:posOffset>-1394460</wp:posOffset>
                </wp:positionH>
                <wp:positionV relativeFrom="margin">
                  <wp:align>top</wp:align>
                </wp:positionV>
                <wp:extent cx="1485900" cy="8856345"/>
                <wp:effectExtent l="0" t="0" r="0" b="19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85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3CEEEEF4" w14:textId="4DC686D1" w:rsidR="005335EA" w:rsidRDefault="005335EA" w:rsidP="00715BF9">
                            <w:pPr>
                              <w:jc w:val="center"/>
                              <w:textDirection w:val="btLr"/>
                            </w:pPr>
                            <w:r w:rsidRPr="00674912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808080"/>
                                <w:sz w:val="116"/>
                                <w:szCs w:val="116"/>
                              </w:rPr>
                              <w:t>Nota de prensa</w:t>
                            </w:r>
                          </w:p>
                          <w:p w14:paraId="6834890D" w14:textId="77777777" w:rsidR="005335EA" w:rsidRDefault="005335E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EEED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09.8pt;margin-top:0;width:117pt;height:697.35pt;z-index:-251658240;visibility:visible;mso-wrap-style:square;mso-height-percent:0;mso-wrap-distance-left:0;mso-wrap-distance-top:0;mso-wrap-distance-right:0;mso-wrap-distance-bottom:0;mso-position-horizontal:absolute;mso-position-horizontal-relative:text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" stroked="f">
                <v:textbox style="layout-flow:vertical;mso-layout-flow-alt:bottom-to-top">
                  <w:txbxContent>
                    <w:p w14:paraId="3CEEEEF4" w14:textId="4DC686D1" w:rsidR="005335EA" w:rsidRDefault="005335EA" w:rsidP="00715BF9">
                      <w:pPr>
                        <w:jc w:val="center"/>
                        <w:textDirection w:val="btLr"/>
                      </w:pPr>
                      <w:r w:rsidRPr="00674912">
                        <w:rPr>
                          <w:rFonts w:ascii="Arial Narrow" w:eastAsia="Times New Roman" w:hAnsi="Arial Narrow" w:cs="Arial"/>
                          <w:b/>
                          <w:bCs/>
                          <w:color w:val="808080"/>
                          <w:sz w:val="116"/>
                          <w:szCs w:val="116"/>
                        </w:rPr>
                        <w:t>Nota de prensa</w:t>
                      </w:r>
                    </w:p>
                    <w:p w14:paraId="6834890D" w14:textId="77777777" w:rsidR="005335EA" w:rsidRDefault="005335EA"/>
                  </w:txbxContent>
                </v:textbox>
                <w10:wrap anchory="margin"/>
              </v:shape>
            </w:pict>
          </mc:Fallback>
        </mc:AlternateContent>
      </w:r>
      <w:r w:rsidR="00FA5304">
        <w:rPr>
          <w:rFonts w:ascii="Tahoma" w:hAnsi="Tahoma" w:cs="Tahoma"/>
          <w:b/>
          <w:sz w:val="40"/>
          <w:szCs w:val="40"/>
        </w:rPr>
        <w:t>G</w:t>
      </w:r>
      <w:r w:rsidR="00097E1C">
        <w:rPr>
          <w:rFonts w:ascii="Tahoma" w:hAnsi="Tahoma" w:cs="Tahoma"/>
          <w:b/>
          <w:sz w:val="40"/>
          <w:szCs w:val="40"/>
        </w:rPr>
        <w:t xml:space="preserve">racias al trabajo del </w:t>
      </w:r>
      <w:r w:rsidR="00FA5304">
        <w:rPr>
          <w:rFonts w:ascii="Tahoma" w:hAnsi="Tahoma" w:cs="Tahoma"/>
          <w:b/>
          <w:sz w:val="40"/>
          <w:szCs w:val="40"/>
        </w:rPr>
        <w:t>SUP</w:t>
      </w:r>
      <w:r w:rsidR="00097E1C">
        <w:rPr>
          <w:rFonts w:ascii="Tahoma" w:hAnsi="Tahoma" w:cs="Tahoma"/>
          <w:b/>
          <w:sz w:val="40"/>
          <w:szCs w:val="40"/>
        </w:rPr>
        <w:t xml:space="preserve"> </w:t>
      </w:r>
      <w:r w:rsidR="00FA5304">
        <w:rPr>
          <w:rFonts w:ascii="Tahoma" w:hAnsi="Tahoma" w:cs="Tahoma"/>
          <w:b/>
          <w:sz w:val="40"/>
          <w:szCs w:val="40"/>
        </w:rPr>
        <w:t>ve</w:t>
      </w:r>
      <w:r w:rsidR="00097E1C">
        <w:rPr>
          <w:rFonts w:ascii="Tahoma" w:hAnsi="Tahoma" w:cs="Tahoma"/>
          <w:b/>
          <w:sz w:val="40"/>
          <w:szCs w:val="40"/>
        </w:rPr>
        <w:t xml:space="preserve"> la luz</w:t>
      </w:r>
      <w:r w:rsidR="00FA5304">
        <w:rPr>
          <w:rFonts w:ascii="Tahoma" w:hAnsi="Tahoma" w:cs="Tahoma"/>
          <w:b/>
          <w:sz w:val="40"/>
          <w:szCs w:val="40"/>
        </w:rPr>
        <w:t xml:space="preserve"> la Proposición de Ley que terminará </w:t>
      </w:r>
      <w:r w:rsidR="003966C7">
        <w:rPr>
          <w:rFonts w:ascii="Tahoma" w:hAnsi="Tahoma" w:cs="Tahoma"/>
          <w:b/>
          <w:sz w:val="40"/>
          <w:szCs w:val="40"/>
        </w:rPr>
        <w:t xml:space="preserve">del todo </w:t>
      </w:r>
      <w:r w:rsidR="00FA5304">
        <w:rPr>
          <w:rFonts w:ascii="Tahoma" w:hAnsi="Tahoma" w:cs="Tahoma"/>
          <w:b/>
          <w:sz w:val="40"/>
          <w:szCs w:val="40"/>
        </w:rPr>
        <w:t>con la discriminación salarial entre las FCSE y las policías autonómicas</w:t>
      </w:r>
      <w:r w:rsidR="00097E1C">
        <w:rPr>
          <w:rFonts w:ascii="Tahoma" w:hAnsi="Tahoma" w:cs="Tahoma"/>
          <w:b/>
          <w:sz w:val="40"/>
          <w:szCs w:val="40"/>
        </w:rPr>
        <w:t xml:space="preserve"> </w:t>
      </w:r>
    </w:p>
    <w:p w14:paraId="38C4FA0A" w14:textId="77777777" w:rsidR="003966C7" w:rsidRDefault="003966C7" w:rsidP="004C2268">
      <w:pPr>
        <w:autoSpaceDE w:val="0"/>
        <w:autoSpaceDN w:val="0"/>
        <w:adjustRightInd w:val="0"/>
        <w:rPr>
          <w:rFonts w:ascii="Tahoma" w:hAnsi="Tahoma" w:cs="Tahoma"/>
          <w:b/>
          <w:sz w:val="40"/>
          <w:szCs w:val="40"/>
        </w:rPr>
      </w:pPr>
    </w:p>
    <w:p w14:paraId="2D9E063D" w14:textId="77B91C68" w:rsidR="00715BF9" w:rsidRDefault="00FA5304" w:rsidP="004C2268">
      <w:pPr>
        <w:autoSpaceDE w:val="0"/>
        <w:autoSpaceDN w:val="0"/>
        <w:adjustRightInd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20</w:t>
      </w:r>
      <w:r w:rsidR="001261CB" w:rsidRPr="00462889">
        <w:rPr>
          <w:rFonts w:ascii="Tahoma" w:hAnsi="Tahoma" w:cs="Tahoma"/>
          <w:b/>
          <w:sz w:val="32"/>
          <w:szCs w:val="32"/>
        </w:rPr>
        <w:t>/0</w:t>
      </w:r>
      <w:r w:rsidR="008928B9" w:rsidRPr="00462889">
        <w:rPr>
          <w:rFonts w:ascii="Tahoma" w:hAnsi="Tahoma" w:cs="Tahoma"/>
          <w:b/>
          <w:sz w:val="32"/>
          <w:szCs w:val="32"/>
        </w:rPr>
        <w:t>7</w:t>
      </w:r>
      <w:r w:rsidR="001261CB" w:rsidRPr="00462889">
        <w:rPr>
          <w:rFonts w:ascii="Tahoma" w:hAnsi="Tahoma" w:cs="Tahoma"/>
          <w:b/>
          <w:sz w:val="32"/>
          <w:szCs w:val="32"/>
        </w:rPr>
        <w:t>/202</w:t>
      </w:r>
      <w:r w:rsidR="005A6D22" w:rsidRPr="00462889">
        <w:rPr>
          <w:rFonts w:ascii="Tahoma" w:hAnsi="Tahoma" w:cs="Tahoma"/>
          <w:b/>
          <w:sz w:val="32"/>
          <w:szCs w:val="32"/>
        </w:rPr>
        <w:t>1</w:t>
      </w:r>
    </w:p>
    <w:p w14:paraId="1383CCA0" w14:textId="77777777" w:rsidR="003966C7" w:rsidRDefault="003966C7" w:rsidP="004C2268">
      <w:pPr>
        <w:autoSpaceDE w:val="0"/>
        <w:autoSpaceDN w:val="0"/>
        <w:adjustRightInd w:val="0"/>
        <w:rPr>
          <w:rFonts w:ascii="Tahoma" w:hAnsi="Tahoma" w:cs="Tahoma"/>
          <w:b/>
          <w:sz w:val="32"/>
          <w:szCs w:val="32"/>
        </w:rPr>
      </w:pPr>
    </w:p>
    <w:p w14:paraId="3CAF4602" w14:textId="3B159B35" w:rsidR="00E4490D" w:rsidRPr="003966C7" w:rsidRDefault="00465528" w:rsidP="00E4490D">
      <w:pPr>
        <w:autoSpaceDE w:val="0"/>
        <w:autoSpaceDN w:val="0"/>
        <w:adjustRightInd w:val="0"/>
        <w:rPr>
          <w:rFonts w:ascii="Tahoma" w:hAnsi="Tahoma" w:cs="Tahoma"/>
          <w:b/>
          <w:sz w:val="32"/>
          <w:szCs w:val="32"/>
        </w:rPr>
      </w:pPr>
      <w:r w:rsidRPr="003966C7">
        <w:rPr>
          <w:rFonts w:ascii="Tahoma" w:hAnsi="Tahoma" w:cs="Tahoma"/>
          <w:b/>
          <w:sz w:val="32"/>
          <w:szCs w:val="32"/>
        </w:rPr>
        <w:t xml:space="preserve">El Grupo Parlamentario Popular presenta en el Congreso la Proposición </w:t>
      </w:r>
      <w:r w:rsidR="00726A91">
        <w:rPr>
          <w:rFonts w:ascii="Tahoma" w:hAnsi="Tahoma" w:cs="Tahoma"/>
          <w:b/>
          <w:sz w:val="32"/>
          <w:szCs w:val="32"/>
        </w:rPr>
        <w:t>de Ley</w:t>
      </w:r>
      <w:r w:rsidRPr="003966C7">
        <w:rPr>
          <w:rFonts w:ascii="Tahoma" w:hAnsi="Tahoma" w:cs="Tahoma"/>
          <w:b/>
          <w:sz w:val="32"/>
          <w:szCs w:val="32"/>
        </w:rPr>
        <w:t xml:space="preserve"> de Retribuciones de las Fuerzas y Cuerpos de Seguridad del Estado con el apoyo de las organizaciones sindicales y asociaciones de Policía Nacional y Guardia Civil. El presidente Pablo Casado, en sintonía con las reivindicaciones del SUP, se compromete a </w:t>
      </w:r>
      <w:r w:rsidR="000B35B3">
        <w:rPr>
          <w:rFonts w:ascii="Tahoma" w:hAnsi="Tahoma" w:cs="Tahoma"/>
          <w:b/>
          <w:sz w:val="32"/>
          <w:szCs w:val="32"/>
        </w:rPr>
        <w:t xml:space="preserve">cumplir </w:t>
      </w:r>
      <w:r w:rsidRPr="003966C7">
        <w:rPr>
          <w:rFonts w:ascii="Tahoma" w:hAnsi="Tahoma" w:cs="Tahoma"/>
          <w:b/>
          <w:sz w:val="32"/>
          <w:szCs w:val="32"/>
        </w:rPr>
        <w:t>las cl</w:t>
      </w:r>
      <w:r w:rsidR="00726A91">
        <w:rPr>
          <w:rFonts w:ascii="Tahoma" w:hAnsi="Tahoma" w:cs="Tahoma"/>
          <w:b/>
          <w:sz w:val="32"/>
          <w:szCs w:val="32"/>
        </w:rPr>
        <w:t>á</w:t>
      </w:r>
      <w:r w:rsidRPr="003966C7">
        <w:rPr>
          <w:rFonts w:ascii="Tahoma" w:hAnsi="Tahoma" w:cs="Tahoma"/>
          <w:b/>
          <w:sz w:val="32"/>
          <w:szCs w:val="32"/>
        </w:rPr>
        <w:t xml:space="preserve">usulas </w:t>
      </w:r>
      <w:r w:rsidR="000B35B3">
        <w:rPr>
          <w:rFonts w:ascii="Tahoma" w:hAnsi="Tahoma" w:cs="Tahoma"/>
          <w:b/>
          <w:sz w:val="32"/>
          <w:szCs w:val="32"/>
        </w:rPr>
        <w:t xml:space="preserve">que restaban </w:t>
      </w:r>
      <w:r w:rsidRPr="003966C7">
        <w:rPr>
          <w:rFonts w:ascii="Tahoma" w:hAnsi="Tahoma" w:cs="Tahoma"/>
          <w:b/>
          <w:sz w:val="32"/>
          <w:szCs w:val="32"/>
        </w:rPr>
        <w:t>del histórico acuerdo de equiparación salarial de 2018</w:t>
      </w:r>
    </w:p>
    <w:p w14:paraId="749AFF89" w14:textId="0D5F19AE" w:rsidR="006F5361" w:rsidRPr="00462889" w:rsidRDefault="006F5361" w:rsidP="00B60C3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32"/>
          <w:szCs w:val="32"/>
        </w:rPr>
      </w:pPr>
    </w:p>
    <w:p w14:paraId="141B60E0" w14:textId="75579D12" w:rsidR="000B35B3" w:rsidRDefault="003966C7" w:rsidP="001D372D">
      <w:pPr>
        <w:autoSpaceDE w:val="0"/>
        <w:autoSpaceDN w:val="0"/>
        <w:adjustRightInd w:val="0"/>
        <w:jc w:val="both"/>
        <w:rPr>
          <w:rFonts w:ascii="Tahoma" w:hAnsi="Tahoma" w:cs="Tahoma"/>
          <w:color w:val="313433"/>
          <w:sz w:val="26"/>
          <w:szCs w:val="26"/>
        </w:rPr>
      </w:pPr>
      <w:r>
        <w:rPr>
          <w:rFonts w:ascii="Tahoma" w:hAnsi="Tahoma" w:cs="Tahoma"/>
          <w:color w:val="313433"/>
          <w:sz w:val="26"/>
          <w:szCs w:val="26"/>
        </w:rPr>
        <w:t>Gracias al acuerdo de equiparación que se firmó en 2018</w:t>
      </w:r>
      <w:r w:rsidR="00726A91">
        <w:rPr>
          <w:rFonts w:ascii="Tahoma" w:hAnsi="Tahoma" w:cs="Tahoma"/>
          <w:color w:val="313433"/>
          <w:sz w:val="26"/>
          <w:szCs w:val="26"/>
        </w:rPr>
        <w:t xml:space="preserve"> y a sus</w:t>
      </w:r>
      <w:r>
        <w:rPr>
          <w:rFonts w:ascii="Tahoma" w:hAnsi="Tahoma" w:cs="Tahoma"/>
          <w:color w:val="313433"/>
          <w:sz w:val="26"/>
          <w:szCs w:val="26"/>
        </w:rPr>
        <w:t xml:space="preserve"> firmantes, hoy los compañeros de Policía Nacional disfrutan de un aumento en sus nóminas de 560 euros de media</w:t>
      </w:r>
      <w:r w:rsidR="00726A91">
        <w:rPr>
          <w:rFonts w:ascii="Tahoma" w:hAnsi="Tahoma" w:cs="Tahoma"/>
          <w:color w:val="313433"/>
          <w:sz w:val="26"/>
          <w:szCs w:val="26"/>
        </w:rPr>
        <w:t xml:space="preserve"> que no existirían de no haberse firmado dicho </w:t>
      </w:r>
      <w:r w:rsidR="00754567">
        <w:rPr>
          <w:rFonts w:ascii="Tahoma" w:hAnsi="Tahoma" w:cs="Tahoma"/>
          <w:color w:val="313433"/>
          <w:sz w:val="26"/>
          <w:szCs w:val="26"/>
        </w:rPr>
        <w:t>acuerdo</w:t>
      </w:r>
      <w:r>
        <w:rPr>
          <w:rFonts w:ascii="Tahoma" w:hAnsi="Tahoma" w:cs="Tahoma"/>
          <w:color w:val="313433"/>
          <w:sz w:val="26"/>
          <w:szCs w:val="26"/>
        </w:rPr>
        <w:t xml:space="preserve">. </w:t>
      </w:r>
      <w:r w:rsidR="00754567">
        <w:rPr>
          <w:rFonts w:ascii="Tahoma" w:hAnsi="Tahoma" w:cs="Tahoma"/>
          <w:color w:val="313433"/>
          <w:sz w:val="26"/>
          <w:szCs w:val="26"/>
        </w:rPr>
        <w:t>Se ha</w:t>
      </w:r>
      <w:r w:rsidR="00B36738">
        <w:rPr>
          <w:rFonts w:ascii="Tahoma" w:hAnsi="Tahoma" w:cs="Tahoma"/>
          <w:color w:val="313433"/>
          <w:sz w:val="26"/>
          <w:szCs w:val="26"/>
        </w:rPr>
        <w:t xml:space="preserve"> cumplido con la </w:t>
      </w:r>
      <w:r>
        <w:rPr>
          <w:rFonts w:ascii="Tahoma" w:hAnsi="Tahoma" w:cs="Tahoma"/>
          <w:color w:val="313433"/>
          <w:sz w:val="26"/>
          <w:szCs w:val="26"/>
        </w:rPr>
        <w:t xml:space="preserve">parte más relevante del acuerdo, pero la moción de censura que dejó paso a otro partido político que no era el firmante dejó por ejecutar varias </w:t>
      </w:r>
      <w:r w:rsidR="00726A91">
        <w:rPr>
          <w:rFonts w:ascii="Tahoma" w:hAnsi="Tahoma" w:cs="Tahoma"/>
          <w:color w:val="313433"/>
          <w:sz w:val="26"/>
          <w:szCs w:val="26"/>
        </w:rPr>
        <w:t>cláusulas</w:t>
      </w:r>
      <w:r>
        <w:rPr>
          <w:rFonts w:ascii="Tahoma" w:hAnsi="Tahoma" w:cs="Tahoma"/>
          <w:color w:val="313433"/>
          <w:sz w:val="26"/>
          <w:szCs w:val="26"/>
        </w:rPr>
        <w:t xml:space="preserve"> del </w:t>
      </w:r>
      <w:r w:rsidR="00754567">
        <w:rPr>
          <w:rFonts w:ascii="Tahoma" w:hAnsi="Tahoma" w:cs="Tahoma"/>
          <w:color w:val="313433"/>
          <w:sz w:val="26"/>
          <w:szCs w:val="26"/>
        </w:rPr>
        <w:t>acuerdo</w:t>
      </w:r>
      <w:r>
        <w:rPr>
          <w:rFonts w:ascii="Tahoma" w:hAnsi="Tahoma" w:cs="Tahoma"/>
          <w:color w:val="313433"/>
          <w:sz w:val="26"/>
          <w:szCs w:val="26"/>
        </w:rPr>
        <w:t>. Hoy por fin ya podemos decir que, tras el trabajo insistente del</w:t>
      </w:r>
      <w:r w:rsidR="00726A91">
        <w:rPr>
          <w:rFonts w:ascii="Tahoma" w:hAnsi="Tahoma" w:cs="Tahoma"/>
          <w:color w:val="313433"/>
          <w:sz w:val="26"/>
          <w:szCs w:val="26"/>
        </w:rPr>
        <w:t xml:space="preserve"> </w:t>
      </w:r>
      <w:r>
        <w:rPr>
          <w:rFonts w:ascii="Tahoma" w:hAnsi="Tahoma" w:cs="Tahoma"/>
          <w:color w:val="313433"/>
          <w:sz w:val="26"/>
          <w:szCs w:val="26"/>
        </w:rPr>
        <w:t xml:space="preserve">SUP y sus continuas reivindicaciones, el Grupo Parlamentario Popular en el Congreso ha presentado una Proposición de Ley Orgánica de Retribuciones de las Fuerzas y Cuerpos de Seguridad cuyo objetivo es modificar la Ley Orgánica de 1986 para terminar con la diferencia de sueldo de policías y guardias respecto a otros cuerpos policiales que cobran más por realizar el mismo trabajo. </w:t>
      </w:r>
    </w:p>
    <w:p w14:paraId="31FEC56F" w14:textId="453C4F65" w:rsidR="00621F2D" w:rsidRDefault="00B36738" w:rsidP="001D372D">
      <w:pPr>
        <w:autoSpaceDE w:val="0"/>
        <w:autoSpaceDN w:val="0"/>
        <w:adjustRightInd w:val="0"/>
        <w:jc w:val="both"/>
        <w:rPr>
          <w:rFonts w:ascii="Tahoma" w:hAnsi="Tahoma" w:cs="Tahoma"/>
          <w:color w:val="313433"/>
          <w:sz w:val="26"/>
          <w:szCs w:val="26"/>
        </w:rPr>
      </w:pPr>
      <w:r>
        <w:rPr>
          <w:rFonts w:ascii="Tahoma" w:hAnsi="Tahoma" w:cs="Tahoma"/>
          <w:color w:val="313433"/>
          <w:sz w:val="26"/>
          <w:szCs w:val="26"/>
        </w:rPr>
        <w:lastRenderedPageBreak/>
        <w:t xml:space="preserve">Hoy, el presidente de los populares Pablo Casado, presentaba en público la Propuesta de Ley de Retribuciones con el apoyo de las organizaciones sindicales y asociaciones de policías y guardias civiles. El presidente ha confirmado la sintonía de los populares con las reclamaciones del SUP y la inclusión en la Proposición de Ley de sus reivindicaciones para que </w:t>
      </w:r>
      <w:r w:rsidR="00621F2D">
        <w:rPr>
          <w:rFonts w:ascii="Tahoma" w:hAnsi="Tahoma" w:cs="Tahoma"/>
          <w:color w:val="313433"/>
          <w:sz w:val="26"/>
          <w:szCs w:val="26"/>
        </w:rPr>
        <w:t xml:space="preserve">los policías se jubilen con el 100% de la pensión como los mossos d’esquadra, cobrar las horas extras igual que ellos, </w:t>
      </w:r>
      <w:r w:rsidR="00837D9F">
        <w:rPr>
          <w:rFonts w:ascii="Tahoma" w:hAnsi="Tahoma" w:cs="Tahoma"/>
          <w:color w:val="313433"/>
          <w:sz w:val="26"/>
          <w:szCs w:val="26"/>
        </w:rPr>
        <w:t xml:space="preserve">que </w:t>
      </w:r>
      <w:r w:rsidR="00621F2D">
        <w:rPr>
          <w:rFonts w:ascii="Tahoma" w:hAnsi="Tahoma" w:cs="Tahoma"/>
          <w:color w:val="313433"/>
          <w:sz w:val="26"/>
          <w:szCs w:val="26"/>
        </w:rPr>
        <w:t xml:space="preserve">se abonen a los policías las asistencias a juicios como a los mossos, la equiparación de los complementos específicos y otra serie de diferencias que se desarrollarán en esta próxima ley. </w:t>
      </w:r>
    </w:p>
    <w:p w14:paraId="1BF6741A" w14:textId="6DBFF8D4" w:rsidR="008037B1" w:rsidRDefault="00621F2D" w:rsidP="001D372D">
      <w:pPr>
        <w:autoSpaceDE w:val="0"/>
        <w:autoSpaceDN w:val="0"/>
        <w:adjustRightInd w:val="0"/>
        <w:jc w:val="both"/>
        <w:rPr>
          <w:rFonts w:ascii="Tahoma" w:hAnsi="Tahoma" w:cs="Tahoma"/>
          <w:color w:val="313433"/>
          <w:sz w:val="26"/>
          <w:szCs w:val="26"/>
        </w:rPr>
      </w:pPr>
      <w:r>
        <w:rPr>
          <w:rFonts w:ascii="Tahoma" w:hAnsi="Tahoma" w:cs="Tahoma"/>
          <w:color w:val="313433"/>
          <w:sz w:val="26"/>
          <w:szCs w:val="26"/>
        </w:rPr>
        <w:t>Además, durante el encuentro, hemos vuelto a solicitar al PP que haga todo lo posible para hacer realidad el reingreso de los policías en segunda actividad que lo soliciten,</w:t>
      </w:r>
      <w:r w:rsidR="00837D9F">
        <w:rPr>
          <w:rFonts w:ascii="Tahoma" w:hAnsi="Tahoma" w:cs="Tahoma"/>
          <w:color w:val="313433"/>
          <w:sz w:val="26"/>
          <w:szCs w:val="26"/>
        </w:rPr>
        <w:t xml:space="preserve"> y</w:t>
      </w:r>
      <w:r>
        <w:rPr>
          <w:rFonts w:ascii="Tahoma" w:hAnsi="Tahoma" w:cs="Tahoma"/>
          <w:color w:val="313433"/>
          <w:sz w:val="26"/>
          <w:szCs w:val="26"/>
        </w:rPr>
        <w:t xml:space="preserve"> la realización de </w:t>
      </w:r>
      <w:r w:rsidR="00B36738">
        <w:rPr>
          <w:rFonts w:ascii="Tahoma" w:hAnsi="Tahoma" w:cs="Tahoma"/>
          <w:color w:val="313433"/>
          <w:sz w:val="26"/>
          <w:szCs w:val="26"/>
        </w:rPr>
        <w:t>una auditoría puesto a puesto de las diferencias de sue</w:t>
      </w:r>
      <w:r w:rsidR="004B3328">
        <w:rPr>
          <w:rFonts w:ascii="Tahoma" w:hAnsi="Tahoma" w:cs="Tahoma"/>
          <w:color w:val="313433"/>
          <w:sz w:val="26"/>
          <w:szCs w:val="26"/>
        </w:rPr>
        <w:t>l</w:t>
      </w:r>
      <w:r w:rsidR="00B36738">
        <w:rPr>
          <w:rFonts w:ascii="Tahoma" w:hAnsi="Tahoma" w:cs="Tahoma"/>
          <w:color w:val="313433"/>
          <w:sz w:val="26"/>
          <w:szCs w:val="26"/>
        </w:rPr>
        <w:t xml:space="preserve">do </w:t>
      </w:r>
      <w:r w:rsidR="004B3328">
        <w:rPr>
          <w:rFonts w:ascii="Tahoma" w:hAnsi="Tahoma" w:cs="Tahoma"/>
          <w:color w:val="313433"/>
          <w:sz w:val="26"/>
          <w:szCs w:val="26"/>
        </w:rPr>
        <w:t xml:space="preserve">entre </w:t>
      </w:r>
      <w:r w:rsidR="00B36738">
        <w:rPr>
          <w:rFonts w:ascii="Tahoma" w:hAnsi="Tahoma" w:cs="Tahoma"/>
          <w:color w:val="313433"/>
          <w:sz w:val="26"/>
          <w:szCs w:val="26"/>
        </w:rPr>
        <w:t xml:space="preserve">mossos y policías </w:t>
      </w:r>
      <w:r w:rsidR="004B3328">
        <w:rPr>
          <w:rFonts w:ascii="Tahoma" w:hAnsi="Tahoma" w:cs="Tahoma"/>
          <w:color w:val="313433"/>
          <w:sz w:val="26"/>
          <w:szCs w:val="26"/>
        </w:rPr>
        <w:t>(no la que ha hecho este Gobierno)</w:t>
      </w:r>
      <w:r>
        <w:rPr>
          <w:rFonts w:ascii="Tahoma" w:hAnsi="Tahoma" w:cs="Tahoma"/>
          <w:color w:val="313433"/>
          <w:sz w:val="26"/>
          <w:szCs w:val="26"/>
        </w:rPr>
        <w:t xml:space="preserve">. </w:t>
      </w:r>
      <w:r w:rsidR="004B3328">
        <w:rPr>
          <w:rFonts w:ascii="Tahoma" w:hAnsi="Tahoma" w:cs="Tahoma"/>
          <w:color w:val="313433"/>
          <w:sz w:val="26"/>
          <w:szCs w:val="26"/>
        </w:rPr>
        <w:t xml:space="preserve"> </w:t>
      </w:r>
      <w:r>
        <w:rPr>
          <w:rFonts w:ascii="Tahoma" w:hAnsi="Tahoma" w:cs="Tahoma"/>
          <w:color w:val="313433"/>
          <w:sz w:val="26"/>
          <w:szCs w:val="26"/>
        </w:rPr>
        <w:t>Desde el SUP no hemos querido desaprovechar la reunión sin presentar una cuestión prioritaria para los policías: la materialización del complemento ZES para las plantillas policiales de Cataluña y El Campo de Gibraltar</w:t>
      </w:r>
      <w:r w:rsidR="00054E83">
        <w:rPr>
          <w:rFonts w:ascii="Tahoma" w:hAnsi="Tahoma" w:cs="Tahoma"/>
          <w:color w:val="313433"/>
          <w:sz w:val="26"/>
          <w:szCs w:val="26"/>
        </w:rPr>
        <w:t>.</w:t>
      </w:r>
      <w:r>
        <w:rPr>
          <w:rFonts w:ascii="Tahoma" w:hAnsi="Tahoma" w:cs="Tahoma"/>
          <w:color w:val="313433"/>
          <w:sz w:val="26"/>
          <w:szCs w:val="26"/>
        </w:rPr>
        <w:t xml:space="preserve"> </w:t>
      </w:r>
    </w:p>
    <w:p w14:paraId="22F2D1D3" w14:textId="789D791B" w:rsidR="00097E1C" w:rsidRDefault="00087333" w:rsidP="001D372D">
      <w:pPr>
        <w:autoSpaceDE w:val="0"/>
        <w:autoSpaceDN w:val="0"/>
        <w:adjustRightInd w:val="0"/>
        <w:jc w:val="both"/>
        <w:rPr>
          <w:rFonts w:ascii="Tahoma" w:hAnsi="Tahoma" w:cs="Tahoma"/>
          <w:color w:val="313433"/>
          <w:sz w:val="26"/>
          <w:szCs w:val="26"/>
        </w:rPr>
      </w:pPr>
      <w:r>
        <w:rPr>
          <w:rFonts w:ascii="Tahoma" w:hAnsi="Tahoma" w:cs="Tahoma"/>
          <w:color w:val="313433"/>
          <w:sz w:val="26"/>
          <w:szCs w:val="26"/>
        </w:rPr>
        <w:t xml:space="preserve">Pablo </w:t>
      </w:r>
      <w:r w:rsidR="00097E1C">
        <w:rPr>
          <w:rFonts w:ascii="Tahoma" w:hAnsi="Tahoma" w:cs="Tahoma"/>
          <w:color w:val="313433"/>
          <w:sz w:val="26"/>
          <w:szCs w:val="26"/>
        </w:rPr>
        <w:t>Casado</w:t>
      </w:r>
      <w:r>
        <w:rPr>
          <w:rFonts w:ascii="Tahoma" w:hAnsi="Tahoma" w:cs="Tahoma"/>
          <w:color w:val="313433"/>
          <w:sz w:val="26"/>
          <w:szCs w:val="26"/>
        </w:rPr>
        <w:t xml:space="preserve">, en nombre de los populares, explicaba que </w:t>
      </w:r>
      <w:r w:rsidR="00097E1C">
        <w:rPr>
          <w:rFonts w:ascii="Tahoma" w:hAnsi="Tahoma" w:cs="Tahoma"/>
          <w:color w:val="313433"/>
          <w:sz w:val="26"/>
          <w:szCs w:val="26"/>
        </w:rPr>
        <w:t xml:space="preserve">han registrado </w:t>
      </w:r>
      <w:r>
        <w:rPr>
          <w:rFonts w:ascii="Tahoma" w:hAnsi="Tahoma" w:cs="Tahoma"/>
          <w:color w:val="313433"/>
          <w:sz w:val="26"/>
          <w:szCs w:val="26"/>
        </w:rPr>
        <w:t>esta Proposición de Ley como reconocimiento al</w:t>
      </w:r>
      <w:r w:rsidR="00097E1C">
        <w:rPr>
          <w:rFonts w:ascii="Tahoma" w:hAnsi="Tahoma" w:cs="Tahoma"/>
          <w:color w:val="313433"/>
          <w:sz w:val="26"/>
          <w:szCs w:val="26"/>
        </w:rPr>
        <w:t xml:space="preserve"> trabajo</w:t>
      </w:r>
      <w:r>
        <w:rPr>
          <w:rFonts w:ascii="Tahoma" w:hAnsi="Tahoma" w:cs="Tahoma"/>
          <w:color w:val="313433"/>
          <w:sz w:val="26"/>
          <w:szCs w:val="26"/>
        </w:rPr>
        <w:t xml:space="preserve"> de las Fuerzas y Cuerpos </w:t>
      </w:r>
      <w:r w:rsidR="000B35B3">
        <w:rPr>
          <w:rFonts w:ascii="Tahoma" w:hAnsi="Tahoma" w:cs="Tahoma"/>
          <w:color w:val="313433"/>
          <w:sz w:val="26"/>
          <w:szCs w:val="26"/>
        </w:rPr>
        <w:t>de Seguridad</w:t>
      </w:r>
      <w:r>
        <w:rPr>
          <w:rFonts w:ascii="Tahoma" w:hAnsi="Tahoma" w:cs="Tahoma"/>
          <w:color w:val="313433"/>
          <w:sz w:val="26"/>
          <w:szCs w:val="26"/>
        </w:rPr>
        <w:t xml:space="preserve"> del Estado</w:t>
      </w:r>
      <w:r w:rsidR="00097E1C">
        <w:rPr>
          <w:rFonts w:ascii="Tahoma" w:hAnsi="Tahoma" w:cs="Tahoma"/>
          <w:color w:val="313433"/>
          <w:sz w:val="26"/>
          <w:szCs w:val="26"/>
        </w:rPr>
        <w:t xml:space="preserve">, </w:t>
      </w:r>
      <w:r>
        <w:rPr>
          <w:rFonts w:ascii="Tahoma" w:hAnsi="Tahoma" w:cs="Tahoma"/>
          <w:color w:val="313433"/>
          <w:sz w:val="26"/>
          <w:szCs w:val="26"/>
        </w:rPr>
        <w:t xml:space="preserve">ha reiterado el </w:t>
      </w:r>
      <w:r w:rsidR="00097E1C">
        <w:rPr>
          <w:rFonts w:ascii="Tahoma" w:hAnsi="Tahoma" w:cs="Tahoma"/>
          <w:color w:val="313433"/>
          <w:sz w:val="26"/>
          <w:szCs w:val="26"/>
        </w:rPr>
        <w:t>apoyo</w:t>
      </w:r>
      <w:r>
        <w:rPr>
          <w:rFonts w:ascii="Tahoma" w:hAnsi="Tahoma" w:cs="Tahoma"/>
          <w:color w:val="313433"/>
          <w:sz w:val="26"/>
          <w:szCs w:val="26"/>
        </w:rPr>
        <w:t xml:space="preserve"> a los policías y guardias denunciados durante los altercados en Cataluña, y se ha mostrado contrario a los homenajes públicos y </w:t>
      </w:r>
      <w:r w:rsidR="00097E1C">
        <w:rPr>
          <w:rFonts w:ascii="Tahoma" w:hAnsi="Tahoma" w:cs="Tahoma"/>
          <w:color w:val="313433"/>
          <w:sz w:val="26"/>
          <w:szCs w:val="26"/>
        </w:rPr>
        <w:t xml:space="preserve">beneficios penitenciarios </w:t>
      </w:r>
      <w:r>
        <w:rPr>
          <w:rFonts w:ascii="Tahoma" w:hAnsi="Tahoma" w:cs="Tahoma"/>
          <w:color w:val="313433"/>
          <w:sz w:val="26"/>
          <w:szCs w:val="26"/>
        </w:rPr>
        <w:t>para</w:t>
      </w:r>
      <w:r w:rsidR="00097E1C">
        <w:rPr>
          <w:rFonts w:ascii="Tahoma" w:hAnsi="Tahoma" w:cs="Tahoma"/>
          <w:color w:val="313433"/>
          <w:sz w:val="26"/>
          <w:szCs w:val="26"/>
        </w:rPr>
        <w:t xml:space="preserve"> </w:t>
      </w:r>
      <w:r>
        <w:rPr>
          <w:rFonts w:ascii="Tahoma" w:hAnsi="Tahoma" w:cs="Tahoma"/>
          <w:color w:val="313433"/>
          <w:sz w:val="26"/>
          <w:szCs w:val="26"/>
        </w:rPr>
        <w:t xml:space="preserve">los </w:t>
      </w:r>
      <w:r w:rsidR="00097E1C">
        <w:rPr>
          <w:rFonts w:ascii="Tahoma" w:hAnsi="Tahoma" w:cs="Tahoma"/>
          <w:color w:val="313433"/>
          <w:sz w:val="26"/>
          <w:szCs w:val="26"/>
        </w:rPr>
        <w:t>terroristas</w:t>
      </w:r>
      <w:r>
        <w:rPr>
          <w:rFonts w:ascii="Tahoma" w:hAnsi="Tahoma" w:cs="Tahoma"/>
          <w:color w:val="313433"/>
          <w:sz w:val="26"/>
          <w:szCs w:val="26"/>
        </w:rPr>
        <w:t xml:space="preserve"> recordando que debe escucharse a las víctimas. </w:t>
      </w:r>
      <w:r w:rsidR="00097E1C">
        <w:rPr>
          <w:rFonts w:ascii="Tahoma" w:hAnsi="Tahoma" w:cs="Tahoma"/>
          <w:color w:val="313433"/>
          <w:sz w:val="26"/>
          <w:szCs w:val="26"/>
        </w:rPr>
        <w:t xml:space="preserve"> </w:t>
      </w:r>
      <w:r>
        <w:rPr>
          <w:rFonts w:ascii="Tahoma" w:hAnsi="Tahoma" w:cs="Tahoma"/>
          <w:color w:val="313433"/>
          <w:sz w:val="26"/>
          <w:szCs w:val="26"/>
        </w:rPr>
        <w:t xml:space="preserve">El PP ha anunciado asimismo la presentación de un </w:t>
      </w:r>
      <w:r w:rsidR="00097E1C">
        <w:rPr>
          <w:rFonts w:ascii="Tahoma" w:hAnsi="Tahoma" w:cs="Tahoma"/>
          <w:color w:val="313433"/>
          <w:sz w:val="26"/>
          <w:szCs w:val="26"/>
        </w:rPr>
        <w:t xml:space="preserve">plan estratégico </w:t>
      </w:r>
      <w:r>
        <w:rPr>
          <w:rFonts w:ascii="Tahoma" w:hAnsi="Tahoma" w:cs="Tahoma"/>
          <w:color w:val="313433"/>
          <w:sz w:val="26"/>
          <w:szCs w:val="26"/>
        </w:rPr>
        <w:t xml:space="preserve">para </w:t>
      </w:r>
      <w:r w:rsidR="00097E1C">
        <w:rPr>
          <w:rFonts w:ascii="Tahoma" w:hAnsi="Tahoma" w:cs="Tahoma"/>
          <w:color w:val="313433"/>
          <w:sz w:val="26"/>
          <w:szCs w:val="26"/>
        </w:rPr>
        <w:t>Ceuta y melilla</w:t>
      </w:r>
      <w:r>
        <w:rPr>
          <w:rFonts w:ascii="Tahoma" w:hAnsi="Tahoma" w:cs="Tahoma"/>
          <w:color w:val="313433"/>
          <w:sz w:val="26"/>
          <w:szCs w:val="26"/>
        </w:rPr>
        <w:t xml:space="preserve"> y ha cerrado la reunión mostrando su intención de adherirse a los firmantes del acuerdo de equiparación de 2018. </w:t>
      </w:r>
    </w:p>
    <w:p w14:paraId="660AB170" w14:textId="79603628" w:rsidR="00FF51A8" w:rsidRDefault="00087333" w:rsidP="000B35B3">
      <w:pPr>
        <w:autoSpaceDE w:val="0"/>
        <w:autoSpaceDN w:val="0"/>
        <w:adjustRightInd w:val="0"/>
        <w:jc w:val="both"/>
        <w:rPr>
          <w:rFonts w:ascii="Tahoma" w:hAnsi="Tahoma" w:cs="Tahoma"/>
          <w:color w:val="313433"/>
          <w:sz w:val="26"/>
          <w:szCs w:val="26"/>
        </w:rPr>
      </w:pPr>
      <w:r>
        <w:rPr>
          <w:rFonts w:ascii="Tahoma" w:hAnsi="Tahoma" w:cs="Tahoma"/>
          <w:color w:val="313433"/>
          <w:sz w:val="26"/>
          <w:szCs w:val="26"/>
        </w:rPr>
        <w:t xml:space="preserve">Desde el SUP ya sólo esperamos que el resto de formaciones políticas apoyen esta nueva Proposición </w:t>
      </w:r>
      <w:r w:rsidR="000B35B3">
        <w:rPr>
          <w:rFonts w:ascii="Tahoma" w:hAnsi="Tahoma" w:cs="Tahoma"/>
          <w:color w:val="313433"/>
          <w:sz w:val="26"/>
          <w:szCs w:val="26"/>
        </w:rPr>
        <w:t>de Ley</w:t>
      </w:r>
      <w:r>
        <w:rPr>
          <w:rFonts w:ascii="Tahoma" w:hAnsi="Tahoma" w:cs="Tahoma"/>
          <w:color w:val="313433"/>
          <w:sz w:val="26"/>
          <w:szCs w:val="26"/>
        </w:rPr>
        <w:t xml:space="preserve"> para las FCSE y la </w:t>
      </w:r>
      <w:r w:rsidR="000B35B3">
        <w:rPr>
          <w:rFonts w:ascii="Tahoma" w:hAnsi="Tahoma" w:cs="Tahoma"/>
          <w:color w:val="313433"/>
          <w:sz w:val="26"/>
          <w:szCs w:val="26"/>
        </w:rPr>
        <w:t>reivindicación histórica</w:t>
      </w:r>
      <w:r>
        <w:rPr>
          <w:rFonts w:ascii="Tahoma" w:hAnsi="Tahoma" w:cs="Tahoma"/>
          <w:color w:val="313433"/>
          <w:sz w:val="26"/>
          <w:szCs w:val="26"/>
        </w:rPr>
        <w:t xml:space="preserve"> de que se acabe con la discriminación por la que el sueldo de la policía de todos los españoles es inferior a </w:t>
      </w:r>
      <w:r w:rsidR="000B35B3">
        <w:rPr>
          <w:rFonts w:ascii="Tahoma" w:hAnsi="Tahoma" w:cs="Tahoma"/>
          <w:color w:val="313433"/>
          <w:sz w:val="26"/>
          <w:szCs w:val="26"/>
        </w:rPr>
        <w:t>los otros cuerpos policiales</w:t>
      </w:r>
      <w:r>
        <w:rPr>
          <w:rFonts w:ascii="Tahoma" w:hAnsi="Tahoma" w:cs="Tahoma"/>
          <w:color w:val="313433"/>
          <w:sz w:val="26"/>
          <w:szCs w:val="26"/>
        </w:rPr>
        <w:t xml:space="preserve"> regionales o locales. </w:t>
      </w:r>
    </w:p>
    <w:p w14:paraId="7B0A92FD" w14:textId="77777777" w:rsidR="000B35B3" w:rsidRDefault="000B35B3" w:rsidP="000B35B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14:paraId="3CEEEED8" w14:textId="6F1F7582" w:rsidR="008171C1" w:rsidRPr="00C859DA" w:rsidRDefault="00715BF9" w:rsidP="007060A0">
      <w:pPr>
        <w:spacing w:line="360" w:lineRule="auto"/>
        <w:ind w:left="-425" w:right="284"/>
        <w:contextualSpacing/>
        <w:jc w:val="both"/>
        <w:rPr>
          <w:rFonts w:ascii="Tahoma" w:eastAsia="Tahoma" w:hAnsi="Tahoma" w:cs="Tahoma"/>
          <w:sz w:val="28"/>
          <w:szCs w:val="28"/>
        </w:rPr>
      </w:pPr>
      <w:r w:rsidRPr="00C859D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320C6E9C" wp14:editId="35338E55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1485900" cy="84582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3BCE8DAA" w14:textId="77777777" w:rsidR="005335EA" w:rsidRDefault="005335EA" w:rsidP="00715BF9">
                            <w:pPr>
                              <w:jc w:val="center"/>
                              <w:textDirection w:val="btLr"/>
                            </w:pPr>
                            <w:r w:rsidRPr="00674912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808080"/>
                                <w:sz w:val="116"/>
                                <w:szCs w:val="116"/>
                              </w:rPr>
                              <w:t>Nota de prensa</w:t>
                            </w:r>
                          </w:p>
                          <w:p w14:paraId="7E1D8B2B" w14:textId="77777777" w:rsidR="005335EA" w:rsidRDefault="005335EA" w:rsidP="00715BF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C6E9C" id="Cuadro de texto 5" o:spid="_x0000_s1027" type="#_x0000_t202" style="position:absolute;left:0;text-align:left;margin-left:0;margin-top:0;width:117pt;height:666pt;z-index:-251656192;visibility:visible;mso-wrap-style:square;mso-height-percent:0;mso-wrap-distance-left:0;mso-wrap-distance-top:0;mso-wrap-distance-right:0;mso-wrap-distance-bottom:0;mso-position-horizontal:left;mso-position-horizontal-relative:page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" stroked="f">
                <v:textbox style="layout-flow:vertical;mso-layout-flow-alt:bottom-to-top">
                  <w:txbxContent>
                    <w:p w14:paraId="3BCE8DAA" w14:textId="77777777" w:rsidR="005335EA" w:rsidRDefault="005335EA" w:rsidP="00715BF9">
                      <w:pPr>
                        <w:jc w:val="center"/>
                        <w:textDirection w:val="btLr"/>
                      </w:pPr>
                      <w:r w:rsidRPr="00674912">
                        <w:rPr>
                          <w:rFonts w:ascii="Arial Narrow" w:eastAsia="Times New Roman" w:hAnsi="Arial Narrow" w:cs="Arial"/>
                          <w:b/>
                          <w:bCs/>
                          <w:color w:val="808080"/>
                          <w:sz w:val="116"/>
                          <w:szCs w:val="116"/>
                        </w:rPr>
                        <w:t>Nota de prensa</w:t>
                      </w:r>
                    </w:p>
                    <w:p w14:paraId="7E1D8B2B" w14:textId="77777777" w:rsidR="005335EA" w:rsidRDefault="005335EA" w:rsidP="00715BF9"/>
                  </w:txbxContent>
                </v:textbox>
                <w10:wrap anchorx="page" anchory="margin"/>
              </v:shape>
            </w:pict>
          </mc:Fallback>
        </mc:AlternateContent>
      </w:r>
      <w:r w:rsidR="00811640" w:rsidRPr="00C859DA">
        <w:rPr>
          <w:rFonts w:ascii="Tahoma" w:eastAsia="Tahoma" w:hAnsi="Tahoma" w:cs="Tahoma"/>
          <w:sz w:val="28"/>
          <w:szCs w:val="28"/>
        </w:rPr>
        <w:t xml:space="preserve">Para más </w:t>
      </w:r>
      <w:r w:rsidR="00811640" w:rsidRPr="00C859DA">
        <w:rPr>
          <w:rFonts w:ascii="Tahoma" w:eastAsia="Tahoma" w:hAnsi="Tahoma" w:cs="Tahoma"/>
          <w:b/>
          <w:sz w:val="28"/>
          <w:szCs w:val="28"/>
        </w:rPr>
        <w:t>información, Carlos</w:t>
      </w:r>
      <w:r w:rsidR="00811640" w:rsidRPr="00C859DA">
        <w:rPr>
          <w:rFonts w:ascii="Tahoma" w:eastAsia="Tahoma" w:hAnsi="Tahoma" w:cs="Tahoma"/>
          <w:sz w:val="28"/>
          <w:szCs w:val="28"/>
        </w:rPr>
        <w:t xml:space="preserve"> Morales, portavoz del SUP, estará a disposición de los medios de comunicación a través de estos canales de contacto: </w:t>
      </w:r>
      <w:r w:rsidR="00811640" w:rsidRPr="00C859DA">
        <w:rPr>
          <w:rFonts w:ascii="Tahoma" w:eastAsia="Tahoma" w:hAnsi="Tahoma" w:cs="Tahoma"/>
          <w:b/>
          <w:sz w:val="28"/>
          <w:szCs w:val="28"/>
        </w:rPr>
        <w:t>teléfono</w:t>
      </w:r>
      <w:r w:rsidR="00811640" w:rsidRPr="00C859DA">
        <w:rPr>
          <w:rFonts w:ascii="Tahoma" w:eastAsia="Tahoma" w:hAnsi="Tahoma" w:cs="Tahoma"/>
          <w:sz w:val="28"/>
          <w:szCs w:val="28"/>
        </w:rPr>
        <w:t xml:space="preserve"> </w:t>
      </w:r>
      <w:r w:rsidR="00811640" w:rsidRPr="00C859DA">
        <w:rPr>
          <w:rFonts w:ascii="Tahoma" w:eastAsia="Tahoma" w:hAnsi="Tahoma" w:cs="Tahoma"/>
          <w:b/>
          <w:sz w:val="28"/>
          <w:szCs w:val="28"/>
        </w:rPr>
        <w:t>665.11.31.95 y mail</w:t>
      </w:r>
      <w:r w:rsidR="00811640" w:rsidRPr="00C859DA">
        <w:rPr>
          <w:rFonts w:ascii="Tahoma" w:eastAsia="Tahoma" w:hAnsi="Tahoma" w:cs="Tahoma"/>
          <w:sz w:val="28"/>
          <w:szCs w:val="28"/>
        </w:rPr>
        <w:t xml:space="preserve"> </w:t>
      </w:r>
      <w:hyperlink r:id="rId6">
        <w:r w:rsidR="00811640" w:rsidRPr="00C859DA">
          <w:rPr>
            <w:rFonts w:ascii="Tahoma" w:eastAsia="Tahoma" w:hAnsi="Tahoma" w:cs="Tahoma"/>
            <w:b/>
            <w:color w:val="0563C1"/>
            <w:sz w:val="28"/>
            <w:szCs w:val="28"/>
            <w:u w:val="single"/>
          </w:rPr>
          <w:t>portavoz@sup.es</w:t>
        </w:r>
      </w:hyperlink>
      <w:r w:rsidR="00811640" w:rsidRPr="00C859DA">
        <w:rPr>
          <w:rFonts w:ascii="Tahoma" w:eastAsia="Tahoma" w:hAnsi="Tahoma" w:cs="Tahoma"/>
          <w:sz w:val="28"/>
          <w:szCs w:val="28"/>
        </w:rPr>
        <w:t>.</w:t>
      </w:r>
    </w:p>
    <w:sectPr w:rsidR="008171C1" w:rsidRPr="00C859DA">
      <w:headerReference w:type="default" r:id="rId7"/>
      <w:footerReference w:type="default" r:id="rId8"/>
      <w:pgSz w:w="11906" w:h="16838"/>
      <w:pgMar w:top="2127" w:right="566" w:bottom="1560" w:left="2268" w:header="103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4F72" w14:textId="77777777" w:rsidR="003D2630" w:rsidRDefault="003D2630">
      <w:pPr>
        <w:spacing w:after="0" w:line="240" w:lineRule="auto"/>
      </w:pPr>
      <w:r>
        <w:separator/>
      </w:r>
    </w:p>
  </w:endnote>
  <w:endnote w:type="continuationSeparator" w:id="0">
    <w:p w14:paraId="0CB1ED06" w14:textId="77777777" w:rsidR="003D2630" w:rsidRDefault="003D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Calibri"/>
    <w:charset w:val="00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Gill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EEE1" w14:textId="77777777" w:rsidR="005335EA" w:rsidRDefault="005335E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Poppins" w:eastAsia="Poppins" w:hAnsi="Poppins" w:cs="Poppins"/>
        <w:b/>
        <w:i/>
        <w:color w:val="000000"/>
        <w:sz w:val="36"/>
        <w:szCs w:val="36"/>
      </w:rPr>
    </w:pPr>
  </w:p>
  <w:tbl>
    <w:tblPr>
      <w:tblStyle w:val="a"/>
      <w:tblW w:w="11056" w:type="dxa"/>
      <w:tblInd w:w="-6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5335EA" w14:paraId="3CEEEEE7" w14:textId="77777777">
      <w:trPr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EEEEE2" w14:textId="77777777" w:rsidR="005335EA" w:rsidRDefault="005335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Gill Sans" w:eastAsia="Gill Sans" w:hAnsi="Gill Sans" w:cs="Gill Sans"/>
              <w:color w:val="17365D"/>
              <w:sz w:val="10"/>
              <w:szCs w:val="10"/>
            </w:rPr>
          </w:pPr>
          <w:r>
            <w:rPr>
              <w:rFonts w:ascii="Gill Sans" w:eastAsia="Gill Sans" w:hAnsi="Gill Sans" w:cs="Gill Sans"/>
              <w:color w:val="17365D"/>
              <w:sz w:val="10"/>
              <w:szCs w:val="10"/>
            </w:rPr>
            <w:t>CORREO ELECTRÓNICO</w:t>
          </w:r>
        </w:p>
        <w:p w14:paraId="3CEEEEE3" w14:textId="77777777" w:rsidR="005335EA" w:rsidRDefault="009C65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Arial Narrow" w:hAnsi="Arial Narrow" w:cs="Arial Narrow"/>
              <w:color w:val="17365D"/>
            </w:rPr>
          </w:pPr>
          <w:hyperlink r:id="rId1">
            <w:r w:rsidR="005335EA">
              <w:rPr>
                <w:rFonts w:ascii="Arial Narrow" w:eastAsia="Arial Narrow" w:hAnsi="Arial Narrow" w:cs="Arial Narrow"/>
                <w:color w:val="0563C1"/>
                <w:u w:val="single"/>
              </w:rPr>
              <w:t>portavoz@sup.es</w:t>
            </w:r>
          </w:hyperlink>
        </w:p>
        <w:p w14:paraId="3CEEEEE4" w14:textId="77777777" w:rsidR="005335EA" w:rsidRDefault="005335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Arial Narrow" w:hAnsi="Arial Narrow" w:cs="Arial Narrow"/>
              <w:color w:val="17365D"/>
              <w:sz w:val="10"/>
              <w:szCs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CEEEEE5" w14:textId="77777777" w:rsidR="005335EA" w:rsidRDefault="005335EA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2126" w:type="dxa"/>
          <w:vMerge w:val="restart"/>
          <w:tcBorders>
            <w:top w:val="nil"/>
            <w:left w:val="single" w:sz="4" w:space="0" w:color="000000"/>
            <w:bottom w:val="nil"/>
            <w:right w:val="nil"/>
          </w:tcBorders>
        </w:tcPr>
        <w:p w14:paraId="3CEEEEE6" w14:textId="77777777" w:rsidR="005335EA" w:rsidRDefault="005335EA">
          <w:pPr>
            <w:spacing w:before="120"/>
            <w:jc w:val="both"/>
            <w:rPr>
              <w:rFonts w:ascii="Gill Sans" w:eastAsia="Gill Sans" w:hAnsi="Gill Sans" w:cs="Gill Sans"/>
              <w:color w:val="17365D"/>
              <w:sz w:val="16"/>
              <w:szCs w:val="16"/>
            </w:rPr>
          </w:pPr>
          <w:r>
            <w:rPr>
              <w:rFonts w:ascii="Gill Sans" w:eastAsia="Gill Sans" w:hAnsi="Gill Sans" w:cs="Gill Sans"/>
              <w:noProof/>
              <w:color w:val="17365D"/>
              <w:sz w:val="16"/>
              <w:szCs w:val="16"/>
            </w:rPr>
            <w:drawing>
              <wp:inline distT="0" distB="0" distL="0" distR="0" wp14:anchorId="3CEEEEF1" wp14:editId="3CEEEEF2">
                <wp:extent cx="569408" cy="569408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08" cy="5694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335EA" w14:paraId="3CEEEEEB" w14:textId="77777777">
      <w:trPr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14:paraId="3CEEEEE8" w14:textId="77777777" w:rsidR="005335EA" w:rsidRDefault="005335E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Página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de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CEEEEE9" w14:textId="77777777" w:rsidR="005335EA" w:rsidRDefault="005335EA">
          <w:pPr>
            <w:tabs>
              <w:tab w:val="left" w:pos="2232"/>
              <w:tab w:val="center" w:pos="3119"/>
            </w:tabs>
            <w:rPr>
              <w:rFonts w:ascii="Arial Narrow" w:eastAsia="Arial Narrow" w:hAnsi="Arial Narrow" w:cs="Arial Narrow"/>
              <w:b/>
              <w:color w:val="17365D"/>
              <w:sz w:val="36"/>
              <w:szCs w:val="36"/>
            </w:rPr>
          </w:pPr>
          <w:r>
            <w:rPr>
              <w:rFonts w:ascii="Arial Narrow" w:eastAsia="Arial Narrow" w:hAnsi="Arial Narrow" w:cs="Arial Narrow"/>
              <w:b/>
              <w:color w:val="17365D"/>
              <w:sz w:val="36"/>
              <w:szCs w:val="36"/>
            </w:rPr>
            <w:t xml:space="preserve">                 www.sup.es</w:t>
          </w:r>
        </w:p>
      </w:tc>
      <w:tc>
        <w:tcPr>
          <w:tcW w:w="2126" w:type="dxa"/>
          <w:vMerge/>
          <w:tcBorders>
            <w:top w:val="nil"/>
            <w:left w:val="single" w:sz="4" w:space="0" w:color="000000"/>
            <w:bottom w:val="nil"/>
            <w:right w:val="nil"/>
          </w:tcBorders>
        </w:tcPr>
        <w:p w14:paraId="3CEEEEEA" w14:textId="77777777" w:rsidR="005335EA" w:rsidRDefault="005335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b/>
              <w:color w:val="17365D"/>
              <w:sz w:val="36"/>
              <w:szCs w:val="36"/>
            </w:rPr>
          </w:pPr>
        </w:p>
      </w:tc>
    </w:tr>
  </w:tbl>
  <w:p w14:paraId="3CEEEEEC" w14:textId="77777777" w:rsidR="005335EA" w:rsidRDefault="005335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4B4B" w14:textId="77777777" w:rsidR="003D2630" w:rsidRDefault="003D2630">
      <w:pPr>
        <w:spacing w:after="0" w:line="240" w:lineRule="auto"/>
      </w:pPr>
      <w:r>
        <w:separator/>
      </w:r>
    </w:p>
  </w:footnote>
  <w:footnote w:type="continuationSeparator" w:id="0">
    <w:p w14:paraId="30C4B6D3" w14:textId="77777777" w:rsidR="003D2630" w:rsidRDefault="003D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EEDF" w14:textId="77777777" w:rsidR="005335EA" w:rsidRDefault="005335EA">
    <w:pPr>
      <w:widowControl w:val="0"/>
      <w:spacing w:after="0"/>
      <w:rPr>
        <w:rFonts w:ascii="Times" w:eastAsia="Times" w:hAnsi="Times" w:cs="Times"/>
        <w:color w:val="000000"/>
        <w:sz w:val="24"/>
        <w:szCs w:val="24"/>
      </w:rPr>
    </w:pPr>
    <w:r>
      <w:rPr>
        <w:rFonts w:ascii="Arial" w:eastAsia="Arial" w:hAnsi="Arial" w:cs="Arial"/>
        <w:b/>
      </w:rPr>
      <w:t xml:space="preserve">       </w:t>
    </w:r>
    <w:r>
      <w:rPr>
        <w:rFonts w:ascii="Arial" w:eastAsia="Arial" w:hAnsi="Arial" w:cs="Arial"/>
        <w:b/>
      </w:rPr>
      <w:tab/>
      <w:t xml:space="preserve">                          </w:t>
    </w:r>
    <w:r>
      <w:rPr>
        <w:rFonts w:ascii="Times" w:eastAsia="Times" w:hAnsi="Times" w:cs="Times"/>
        <w:noProof/>
        <w:color w:val="000000"/>
        <w:sz w:val="24"/>
        <w:szCs w:val="24"/>
      </w:rPr>
      <w:drawing>
        <wp:inline distT="0" distB="0" distL="0" distR="0" wp14:anchorId="3CEEEEED" wp14:editId="3CEEEEEE">
          <wp:extent cx="4054963" cy="440884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4963" cy="440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" w:eastAsia="Times" w:hAnsi="Times" w:cs="Times"/>
        <w:color w:val="000000"/>
        <w:sz w:val="24"/>
        <w:szCs w:val="24"/>
      </w:rPr>
      <w:t xml:space="preserve">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CEEEEEF" wp14:editId="3CEEEEF0">
          <wp:simplePos x="0" y="0"/>
          <wp:positionH relativeFrom="column">
            <wp:posOffset>-1142999</wp:posOffset>
          </wp:positionH>
          <wp:positionV relativeFrom="paragraph">
            <wp:posOffset>-423543</wp:posOffset>
          </wp:positionV>
          <wp:extent cx="1828800" cy="9144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EEEEE0" w14:textId="77777777" w:rsidR="005335EA" w:rsidRDefault="005335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276" w:firstLine="1276"/>
      <w:rPr>
        <w:rFonts w:ascii="Poppins" w:eastAsia="Poppins" w:hAnsi="Poppins" w:cs="Poppins"/>
        <w:b/>
        <w:i/>
        <w:color w:val="000000"/>
        <w:sz w:val="36"/>
        <w:szCs w:val="36"/>
      </w:rPr>
    </w:pPr>
    <w:r>
      <w:rPr>
        <w:rFonts w:ascii="Arial" w:eastAsia="Arial" w:hAnsi="Arial" w:cs="Arial"/>
        <w:b/>
        <w:color w:val="000000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C1"/>
    <w:rsid w:val="000041DD"/>
    <w:rsid w:val="00007D62"/>
    <w:rsid w:val="000366BE"/>
    <w:rsid w:val="0004491E"/>
    <w:rsid w:val="00050D5D"/>
    <w:rsid w:val="000522E7"/>
    <w:rsid w:val="0005304C"/>
    <w:rsid w:val="00054B07"/>
    <w:rsid w:val="00054E83"/>
    <w:rsid w:val="0005627E"/>
    <w:rsid w:val="000646FF"/>
    <w:rsid w:val="00067B3B"/>
    <w:rsid w:val="000823E5"/>
    <w:rsid w:val="00087333"/>
    <w:rsid w:val="000903CC"/>
    <w:rsid w:val="00090BCA"/>
    <w:rsid w:val="00096EC3"/>
    <w:rsid w:val="00097E1C"/>
    <w:rsid w:val="000A4960"/>
    <w:rsid w:val="000A736F"/>
    <w:rsid w:val="000B35B3"/>
    <w:rsid w:val="000F2B5C"/>
    <w:rsid w:val="000F6F5B"/>
    <w:rsid w:val="00100C52"/>
    <w:rsid w:val="00105B5D"/>
    <w:rsid w:val="00106F6C"/>
    <w:rsid w:val="0011069D"/>
    <w:rsid w:val="00117755"/>
    <w:rsid w:val="0011779D"/>
    <w:rsid w:val="001261CB"/>
    <w:rsid w:val="0012721B"/>
    <w:rsid w:val="00161A8F"/>
    <w:rsid w:val="00161D98"/>
    <w:rsid w:val="00166C08"/>
    <w:rsid w:val="001678F2"/>
    <w:rsid w:val="00170837"/>
    <w:rsid w:val="0017415C"/>
    <w:rsid w:val="0018705B"/>
    <w:rsid w:val="001D1E30"/>
    <w:rsid w:val="001D372D"/>
    <w:rsid w:val="001D49B8"/>
    <w:rsid w:val="001E5300"/>
    <w:rsid w:val="001E730E"/>
    <w:rsid w:val="00200EE4"/>
    <w:rsid w:val="00202C18"/>
    <w:rsid w:val="0021023F"/>
    <w:rsid w:val="00231187"/>
    <w:rsid w:val="00234C41"/>
    <w:rsid w:val="002361F0"/>
    <w:rsid w:val="00247169"/>
    <w:rsid w:val="00256A9D"/>
    <w:rsid w:val="00260215"/>
    <w:rsid w:val="00262318"/>
    <w:rsid w:val="00267E0B"/>
    <w:rsid w:val="00275216"/>
    <w:rsid w:val="00296DAA"/>
    <w:rsid w:val="002B7BEE"/>
    <w:rsid w:val="002C5DCB"/>
    <w:rsid w:val="002E1C51"/>
    <w:rsid w:val="002E1D92"/>
    <w:rsid w:val="002F77AB"/>
    <w:rsid w:val="003012EF"/>
    <w:rsid w:val="003018FF"/>
    <w:rsid w:val="00303172"/>
    <w:rsid w:val="00313344"/>
    <w:rsid w:val="00323781"/>
    <w:rsid w:val="00364148"/>
    <w:rsid w:val="0036755A"/>
    <w:rsid w:val="00371DF9"/>
    <w:rsid w:val="00386904"/>
    <w:rsid w:val="003929D7"/>
    <w:rsid w:val="003966C7"/>
    <w:rsid w:val="003C05A8"/>
    <w:rsid w:val="003D0AFF"/>
    <w:rsid w:val="003D12F9"/>
    <w:rsid w:val="003D2630"/>
    <w:rsid w:val="003D4ED3"/>
    <w:rsid w:val="003F09B5"/>
    <w:rsid w:val="003F6F6B"/>
    <w:rsid w:val="00403176"/>
    <w:rsid w:val="00403C79"/>
    <w:rsid w:val="00406D52"/>
    <w:rsid w:val="00413DA5"/>
    <w:rsid w:val="0041505F"/>
    <w:rsid w:val="00416BF1"/>
    <w:rsid w:val="004173BA"/>
    <w:rsid w:val="00417D10"/>
    <w:rsid w:val="00421226"/>
    <w:rsid w:val="00424EAE"/>
    <w:rsid w:val="00426C46"/>
    <w:rsid w:val="00431CA5"/>
    <w:rsid w:val="004357EA"/>
    <w:rsid w:val="00440AC8"/>
    <w:rsid w:val="004536AE"/>
    <w:rsid w:val="00456480"/>
    <w:rsid w:val="00457E5D"/>
    <w:rsid w:val="00462889"/>
    <w:rsid w:val="00465528"/>
    <w:rsid w:val="004724EA"/>
    <w:rsid w:val="00491850"/>
    <w:rsid w:val="004931FD"/>
    <w:rsid w:val="004A0A66"/>
    <w:rsid w:val="004A474B"/>
    <w:rsid w:val="004A4C33"/>
    <w:rsid w:val="004A4CF7"/>
    <w:rsid w:val="004A6213"/>
    <w:rsid w:val="004B3328"/>
    <w:rsid w:val="004B484C"/>
    <w:rsid w:val="004B6F4C"/>
    <w:rsid w:val="004C2268"/>
    <w:rsid w:val="004C293E"/>
    <w:rsid w:val="004C4903"/>
    <w:rsid w:val="004C676F"/>
    <w:rsid w:val="004D1047"/>
    <w:rsid w:val="004D17E8"/>
    <w:rsid w:val="004D29F1"/>
    <w:rsid w:val="004D7F50"/>
    <w:rsid w:val="004E1B7D"/>
    <w:rsid w:val="004E32A9"/>
    <w:rsid w:val="004F1BA1"/>
    <w:rsid w:val="005006B8"/>
    <w:rsid w:val="00516DF2"/>
    <w:rsid w:val="005335EA"/>
    <w:rsid w:val="00555701"/>
    <w:rsid w:val="005660BD"/>
    <w:rsid w:val="00573B14"/>
    <w:rsid w:val="00582B9D"/>
    <w:rsid w:val="005A16B0"/>
    <w:rsid w:val="005A6D22"/>
    <w:rsid w:val="005B0288"/>
    <w:rsid w:val="005B56E1"/>
    <w:rsid w:val="005E2834"/>
    <w:rsid w:val="005E37EB"/>
    <w:rsid w:val="00601A16"/>
    <w:rsid w:val="006039AB"/>
    <w:rsid w:val="00607BB4"/>
    <w:rsid w:val="00610A16"/>
    <w:rsid w:val="00621F2D"/>
    <w:rsid w:val="00635C02"/>
    <w:rsid w:val="006402D5"/>
    <w:rsid w:val="006406B1"/>
    <w:rsid w:val="0064700D"/>
    <w:rsid w:val="00657629"/>
    <w:rsid w:val="00674912"/>
    <w:rsid w:val="00690235"/>
    <w:rsid w:val="006908DA"/>
    <w:rsid w:val="00691F74"/>
    <w:rsid w:val="0069583C"/>
    <w:rsid w:val="006A58E9"/>
    <w:rsid w:val="006A615A"/>
    <w:rsid w:val="006A668D"/>
    <w:rsid w:val="006B3D27"/>
    <w:rsid w:val="006D2738"/>
    <w:rsid w:val="006D55BE"/>
    <w:rsid w:val="006E1B8B"/>
    <w:rsid w:val="006F5361"/>
    <w:rsid w:val="006F6F8B"/>
    <w:rsid w:val="00704BE6"/>
    <w:rsid w:val="00705405"/>
    <w:rsid w:val="007060A0"/>
    <w:rsid w:val="00713E58"/>
    <w:rsid w:val="00715BF9"/>
    <w:rsid w:val="0072100B"/>
    <w:rsid w:val="00726A91"/>
    <w:rsid w:val="00730B74"/>
    <w:rsid w:val="0073726B"/>
    <w:rsid w:val="00754567"/>
    <w:rsid w:val="00754992"/>
    <w:rsid w:val="00766A98"/>
    <w:rsid w:val="0077558F"/>
    <w:rsid w:val="00787E55"/>
    <w:rsid w:val="00791F9C"/>
    <w:rsid w:val="00792439"/>
    <w:rsid w:val="007932A9"/>
    <w:rsid w:val="007B24F8"/>
    <w:rsid w:val="007B446C"/>
    <w:rsid w:val="007D77CE"/>
    <w:rsid w:val="008037B1"/>
    <w:rsid w:val="00811640"/>
    <w:rsid w:val="008165F7"/>
    <w:rsid w:val="008171C1"/>
    <w:rsid w:val="00820172"/>
    <w:rsid w:val="00824C01"/>
    <w:rsid w:val="00837573"/>
    <w:rsid w:val="00837D9F"/>
    <w:rsid w:val="00877934"/>
    <w:rsid w:val="008928B9"/>
    <w:rsid w:val="00894FC6"/>
    <w:rsid w:val="008A5164"/>
    <w:rsid w:val="008A5CBC"/>
    <w:rsid w:val="008A7F1B"/>
    <w:rsid w:val="008B064F"/>
    <w:rsid w:val="008B0E76"/>
    <w:rsid w:val="008B582C"/>
    <w:rsid w:val="008C71EA"/>
    <w:rsid w:val="008D0152"/>
    <w:rsid w:val="008D22B7"/>
    <w:rsid w:val="008D3B52"/>
    <w:rsid w:val="008E5258"/>
    <w:rsid w:val="008F5F8B"/>
    <w:rsid w:val="009214A6"/>
    <w:rsid w:val="009436F6"/>
    <w:rsid w:val="00945AE1"/>
    <w:rsid w:val="00946B42"/>
    <w:rsid w:val="0095520C"/>
    <w:rsid w:val="00960C53"/>
    <w:rsid w:val="009651BD"/>
    <w:rsid w:val="00971814"/>
    <w:rsid w:val="00972B8D"/>
    <w:rsid w:val="009845C6"/>
    <w:rsid w:val="00984D04"/>
    <w:rsid w:val="0098541F"/>
    <w:rsid w:val="00995B17"/>
    <w:rsid w:val="009A24ED"/>
    <w:rsid w:val="009C3CCC"/>
    <w:rsid w:val="009D33F4"/>
    <w:rsid w:val="00A01D8A"/>
    <w:rsid w:val="00A15381"/>
    <w:rsid w:val="00A21FE7"/>
    <w:rsid w:val="00A41757"/>
    <w:rsid w:val="00A4493C"/>
    <w:rsid w:val="00A500C9"/>
    <w:rsid w:val="00A56F29"/>
    <w:rsid w:val="00A72A7C"/>
    <w:rsid w:val="00A77FA9"/>
    <w:rsid w:val="00A9430C"/>
    <w:rsid w:val="00A96997"/>
    <w:rsid w:val="00AA341E"/>
    <w:rsid w:val="00AB62D8"/>
    <w:rsid w:val="00AE0B1E"/>
    <w:rsid w:val="00B009F7"/>
    <w:rsid w:val="00B17082"/>
    <w:rsid w:val="00B22147"/>
    <w:rsid w:val="00B3297D"/>
    <w:rsid w:val="00B36738"/>
    <w:rsid w:val="00B60C32"/>
    <w:rsid w:val="00B61DF4"/>
    <w:rsid w:val="00B6784E"/>
    <w:rsid w:val="00B77202"/>
    <w:rsid w:val="00B80C17"/>
    <w:rsid w:val="00B85C8A"/>
    <w:rsid w:val="00B87988"/>
    <w:rsid w:val="00BA1DFF"/>
    <w:rsid w:val="00BB5344"/>
    <w:rsid w:val="00BC35C3"/>
    <w:rsid w:val="00BF315F"/>
    <w:rsid w:val="00BF443A"/>
    <w:rsid w:val="00C03B71"/>
    <w:rsid w:val="00C11489"/>
    <w:rsid w:val="00C17B2C"/>
    <w:rsid w:val="00C240DB"/>
    <w:rsid w:val="00C25C0E"/>
    <w:rsid w:val="00C26687"/>
    <w:rsid w:val="00C34AA2"/>
    <w:rsid w:val="00C35996"/>
    <w:rsid w:val="00C36B65"/>
    <w:rsid w:val="00C4168E"/>
    <w:rsid w:val="00C41DDB"/>
    <w:rsid w:val="00C5578C"/>
    <w:rsid w:val="00C570D3"/>
    <w:rsid w:val="00C77607"/>
    <w:rsid w:val="00C829AD"/>
    <w:rsid w:val="00C84424"/>
    <w:rsid w:val="00C859DA"/>
    <w:rsid w:val="00C96CFC"/>
    <w:rsid w:val="00CB15B2"/>
    <w:rsid w:val="00CC035C"/>
    <w:rsid w:val="00CE24FC"/>
    <w:rsid w:val="00CE5B8B"/>
    <w:rsid w:val="00CF47ED"/>
    <w:rsid w:val="00D029C0"/>
    <w:rsid w:val="00D1035C"/>
    <w:rsid w:val="00D10617"/>
    <w:rsid w:val="00D226EC"/>
    <w:rsid w:val="00D310D4"/>
    <w:rsid w:val="00D3165E"/>
    <w:rsid w:val="00D331B8"/>
    <w:rsid w:val="00D455D3"/>
    <w:rsid w:val="00D529A1"/>
    <w:rsid w:val="00D53A8F"/>
    <w:rsid w:val="00D550B3"/>
    <w:rsid w:val="00D561F1"/>
    <w:rsid w:val="00D64D89"/>
    <w:rsid w:val="00D67785"/>
    <w:rsid w:val="00D745F3"/>
    <w:rsid w:val="00D74E5B"/>
    <w:rsid w:val="00D76508"/>
    <w:rsid w:val="00D86E41"/>
    <w:rsid w:val="00D8736C"/>
    <w:rsid w:val="00DB2EBC"/>
    <w:rsid w:val="00DB3DB5"/>
    <w:rsid w:val="00DD20FF"/>
    <w:rsid w:val="00DE0F73"/>
    <w:rsid w:val="00DE160C"/>
    <w:rsid w:val="00DE2BE8"/>
    <w:rsid w:val="00DF1451"/>
    <w:rsid w:val="00E10E25"/>
    <w:rsid w:val="00E1226F"/>
    <w:rsid w:val="00E24178"/>
    <w:rsid w:val="00E3550F"/>
    <w:rsid w:val="00E35A20"/>
    <w:rsid w:val="00E4490D"/>
    <w:rsid w:val="00E44988"/>
    <w:rsid w:val="00E56483"/>
    <w:rsid w:val="00E56BA7"/>
    <w:rsid w:val="00E666DB"/>
    <w:rsid w:val="00E71F6C"/>
    <w:rsid w:val="00E73744"/>
    <w:rsid w:val="00E87D62"/>
    <w:rsid w:val="00E9696F"/>
    <w:rsid w:val="00E9765B"/>
    <w:rsid w:val="00EA7D56"/>
    <w:rsid w:val="00EB1F56"/>
    <w:rsid w:val="00EE3390"/>
    <w:rsid w:val="00EE66A9"/>
    <w:rsid w:val="00EF0072"/>
    <w:rsid w:val="00EF4536"/>
    <w:rsid w:val="00F07FF0"/>
    <w:rsid w:val="00F15C69"/>
    <w:rsid w:val="00F20F3B"/>
    <w:rsid w:val="00F23509"/>
    <w:rsid w:val="00F23F49"/>
    <w:rsid w:val="00F2724A"/>
    <w:rsid w:val="00F31EAB"/>
    <w:rsid w:val="00F34B25"/>
    <w:rsid w:val="00F36DED"/>
    <w:rsid w:val="00F429F7"/>
    <w:rsid w:val="00F51260"/>
    <w:rsid w:val="00F664DE"/>
    <w:rsid w:val="00F720D9"/>
    <w:rsid w:val="00F96CB9"/>
    <w:rsid w:val="00F97A3C"/>
    <w:rsid w:val="00FA01D3"/>
    <w:rsid w:val="00FA5304"/>
    <w:rsid w:val="00FB7B74"/>
    <w:rsid w:val="00FC3885"/>
    <w:rsid w:val="00FD407F"/>
    <w:rsid w:val="00FD41C2"/>
    <w:rsid w:val="00FF0CEC"/>
    <w:rsid w:val="00FF2A2F"/>
    <w:rsid w:val="00FF461A"/>
    <w:rsid w:val="00FF51A8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EEC6"/>
  <w15:docId w15:val="{6E16FAD6-D9D4-7B4D-A71A-FE99E019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right"/>
      <w:outlineLvl w:val="3"/>
    </w:pPr>
    <w:rPr>
      <w:rFonts w:ascii="Arial Narrow" w:eastAsia="Arial Narrow" w:hAnsi="Arial Narrow" w:cs="Arial Narrow"/>
      <w:b/>
      <w:color w:val="808080"/>
      <w:sz w:val="96"/>
      <w:szCs w:val="9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5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BF9"/>
  </w:style>
  <w:style w:type="paragraph" w:styleId="Piedepgina">
    <w:name w:val="footer"/>
    <w:basedOn w:val="Normal"/>
    <w:link w:val="PiedepginaCar"/>
    <w:uiPriority w:val="99"/>
    <w:unhideWhenUsed/>
    <w:rsid w:val="00715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ortavoz@sup.es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 /><Relationship Id="rId1" Type="http://schemas.openxmlformats.org/officeDocument/2006/relationships/hyperlink" Target="mailto:portavoz@sup.es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Carlos Jiménez</cp:lastModifiedBy>
  <cp:revision>2</cp:revision>
  <dcterms:created xsi:type="dcterms:W3CDTF">2021-07-20T15:16:00Z</dcterms:created>
  <dcterms:modified xsi:type="dcterms:W3CDTF">2021-07-20T15:16:00Z</dcterms:modified>
</cp:coreProperties>
</file>